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110746">
        <w:rPr>
          <w:rFonts w:ascii="Trebuchet MS" w:hAnsi="Trebuchet MS" w:cs="Arial"/>
          <w:b/>
          <w:noProof/>
          <w:sz w:val="22"/>
          <w:szCs w:val="22"/>
          <w:lang w:val="en-GB"/>
        </w:rPr>
        <w:t>April 25</w:t>
      </w:r>
      <w:r w:rsidR="004D3964" w:rsidRPr="00F8607B">
        <w:rPr>
          <w:rFonts w:ascii="Trebuchet MS" w:hAnsi="Trebuchet MS" w:cs="Arial"/>
          <w:b/>
          <w:noProof/>
          <w:sz w:val="22"/>
          <w:szCs w:val="22"/>
          <w:lang w:val="en-GB"/>
        </w:rPr>
        <w:t>/</w:t>
      </w:r>
      <w:r w:rsidR="00110746">
        <w:rPr>
          <w:rFonts w:ascii="Trebuchet MS" w:hAnsi="Trebuchet MS" w:cs="Arial"/>
          <w:b/>
          <w:noProof/>
          <w:sz w:val="22"/>
          <w:szCs w:val="22"/>
          <w:lang w:val="en-GB"/>
        </w:rPr>
        <w:t>26</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110746">
        <w:rPr>
          <w:rFonts w:ascii="Trebuchet MS" w:hAnsi="Trebuchet MS" w:cs="Arial"/>
          <w:b/>
          <w:noProof/>
          <w:sz w:val="22"/>
          <w:szCs w:val="22"/>
          <w:lang w:val="en-GB"/>
        </w:rPr>
        <w:t>April 15</w:t>
      </w:r>
      <w:r w:rsidR="00605458">
        <w:rPr>
          <w:rFonts w:ascii="Trebuchet MS" w:hAnsi="Trebuchet MS" w:cs="Arial"/>
          <w:b/>
          <w:noProof/>
          <w:sz w:val="22"/>
          <w:szCs w:val="22"/>
          <w:lang w:val="en-GB"/>
        </w:rPr>
        <w:t>,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385,422,400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110746" w:rsidRPr="001D116A" w:rsidRDefault="00110746" w:rsidP="00110746">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25,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26,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April 15,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 xml:space="preserve">The draft resolution for item 1 on the agenda: </w:t>
      </w:r>
    </w:p>
    <w:p w:rsidR="00E25849" w:rsidRPr="00E02F05" w:rsidRDefault="00E25849" w:rsidP="00E25849">
      <w:pPr>
        <w:jc w:val="both"/>
        <w:rPr>
          <w:rFonts w:ascii="Trebuchet MS" w:hAnsi="Trebuchet MS" w:cs="Arial"/>
          <w:b/>
          <w:iCs/>
          <w:sz w:val="22"/>
          <w:szCs w:val="22"/>
          <w:lang w:val="en-GB"/>
        </w:rPr>
      </w:pPr>
      <w:r w:rsidRPr="00E02F05">
        <w:rPr>
          <w:rFonts w:ascii="Trebuchet MS" w:hAnsi="Trebuchet MS" w:cs="Arial"/>
          <w:b/>
          <w:noProof/>
          <w:sz w:val="22"/>
          <w:szCs w:val="22"/>
          <w:lang w:val="en-GB"/>
        </w:rPr>
        <w:t>„Takes note of the Consolidated Board of Directors’ Report on the activity performed in 2023”.</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b/>
          <w:bCs/>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2 on the agenda: </w:t>
      </w:r>
    </w:p>
    <w:p w:rsidR="00E25849" w:rsidRPr="00E02F05" w:rsidRDefault="00E25849" w:rsidP="00E25849">
      <w:pPr>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rPr>
        <w:t xml:space="preserve">Takes note of the Report of the Independent Auditor Ernst &amp; Young Assurance Services S.R.L. on the </w:t>
      </w:r>
      <w:r w:rsidR="00FC4DA2">
        <w:rPr>
          <w:rFonts w:ascii="Trebuchet MS" w:eastAsia="Times New Roman" w:hAnsi="Trebuchet MS" w:cs="Arial"/>
          <w:b/>
          <w:sz w:val="22"/>
          <w:szCs w:val="22"/>
          <w:lang w:val="en-GB"/>
        </w:rPr>
        <w:t>Separate</w:t>
      </w:r>
      <w:r w:rsidRPr="00E02F05">
        <w:rPr>
          <w:rFonts w:ascii="Trebuchet MS" w:eastAsia="Times New Roman" w:hAnsi="Trebuchet MS" w:cs="Arial"/>
          <w:b/>
          <w:sz w:val="22"/>
          <w:szCs w:val="22"/>
          <w:lang w:val="en-GB"/>
        </w:rPr>
        <w:t xml:space="preserve"> Financial Statements of S.N.G.N. ROMGAZ S.A. for the year ended on December 31, 2023</w:t>
      </w:r>
      <w:r w:rsidRPr="00E02F05">
        <w:rPr>
          <w:rFonts w:ascii="Trebuchet MS" w:hAnsi="Trebuchet MS" w:cs="Arial"/>
          <w:b/>
          <w:noProof/>
          <w:sz w:val="22"/>
          <w:szCs w:val="22"/>
          <w:lang w:val="en-GB"/>
        </w:rPr>
        <w:t>”.</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3 on the agenda: </w:t>
      </w:r>
    </w:p>
    <w:p w:rsidR="00E25849" w:rsidRPr="00E02F05" w:rsidRDefault="00E25849" w:rsidP="00E25849">
      <w:pPr>
        <w:jc w:val="both"/>
        <w:rPr>
          <w:rFonts w:ascii="Trebuchet MS" w:hAnsi="Trebuchet MS" w:cs="Arial"/>
          <w:b/>
          <w:noProof/>
          <w:sz w:val="22"/>
          <w:szCs w:val="22"/>
          <w:lang w:val="en-US"/>
        </w:rPr>
      </w:pPr>
      <w:r w:rsidRPr="00E02F05">
        <w:rPr>
          <w:rFonts w:ascii="Trebuchet MS" w:hAnsi="Trebuchet MS" w:cs="Arial"/>
          <w:b/>
          <w:noProof/>
          <w:sz w:val="22"/>
          <w:szCs w:val="22"/>
          <w:lang w:val="en-US"/>
        </w:rPr>
        <w:t>„</w:t>
      </w:r>
      <w:r w:rsidRPr="00E02F05">
        <w:rPr>
          <w:rFonts w:ascii="Trebuchet MS" w:eastAsia="Times New Roman" w:hAnsi="Trebuchet MS" w:cs="Arial"/>
          <w:b/>
          <w:noProof/>
          <w:sz w:val="22"/>
          <w:szCs w:val="22"/>
          <w:lang w:val="en-US"/>
        </w:rPr>
        <w:t>Takes note of the Report of the Independent Auditor Ernst &amp; Young Assurance Services S.R.L. on the Consolidated Financial Statements of S.N.G.N. ROMGAZ S.A. Group for the year ended on December 31, 2023</w:t>
      </w:r>
      <w:r w:rsidRPr="00E02F05">
        <w:rPr>
          <w:rFonts w:ascii="Trebuchet MS" w:hAnsi="Trebuchet MS" w:cs="Arial"/>
          <w:b/>
          <w:noProof/>
          <w:sz w:val="22"/>
          <w:szCs w:val="22"/>
          <w:lang w:val="en-US"/>
        </w:rPr>
        <w:t>”.</w:t>
      </w:r>
    </w:p>
    <w:p w:rsidR="00E25849" w:rsidRPr="00E02F05" w:rsidRDefault="00E25849" w:rsidP="00E25849">
      <w:pPr>
        <w:suppressAutoHyphens w:val="0"/>
        <w:jc w:val="both"/>
        <w:rPr>
          <w:rFonts w:ascii="Trebuchet MS" w:hAnsi="Trebuchet MS" w:cs="Arial"/>
          <w:noProof/>
          <w:sz w:val="22"/>
          <w:szCs w:val="22"/>
          <w:lang w:val="en-US"/>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Default="00E25849" w:rsidP="00E25849">
      <w:pPr>
        <w:shd w:val="clear" w:color="auto" w:fill="FFFFFF"/>
        <w:jc w:val="both"/>
        <w:rPr>
          <w:rFonts w:ascii="Trebuchet MS" w:hAnsi="Trebuchet MS" w:cs="Arial"/>
          <w:noProof/>
          <w:sz w:val="22"/>
          <w:szCs w:val="22"/>
          <w:lang w:val="en-GB"/>
        </w:rPr>
      </w:pPr>
    </w:p>
    <w:p w:rsidR="00E25849"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4 on the agenda: </w:t>
      </w:r>
    </w:p>
    <w:p w:rsidR="00E25849" w:rsidRPr="00E02F05" w:rsidRDefault="00E25849" w:rsidP="00E25849">
      <w:pPr>
        <w:spacing w:line="276" w:lineRule="auto"/>
        <w:jc w:val="both"/>
        <w:rPr>
          <w:rFonts w:ascii="Trebuchet MS" w:eastAsia="Times New Roman" w:hAnsi="Trebuchet MS" w:cs="Arial"/>
          <w:b/>
          <w:bCs/>
          <w:noProof/>
          <w:color w:val="FF0000"/>
          <w:sz w:val="22"/>
          <w:szCs w:val="22"/>
          <w:lang w:val="en-US"/>
        </w:rPr>
      </w:pPr>
      <w:r w:rsidRPr="00E02F05">
        <w:rPr>
          <w:rFonts w:ascii="Trebuchet MS" w:hAnsi="Trebuchet MS" w:cs="Arial"/>
          <w:b/>
          <w:noProof/>
          <w:sz w:val="22"/>
          <w:szCs w:val="22"/>
          <w:lang w:val="en-US"/>
        </w:rPr>
        <w:t>„</w:t>
      </w:r>
      <w:r w:rsidRPr="00E02F05">
        <w:rPr>
          <w:rFonts w:ascii="Trebuchet MS" w:eastAsia="Times New Roman" w:hAnsi="Trebuchet MS" w:cs="Arial"/>
          <w:b/>
          <w:noProof/>
          <w:sz w:val="22"/>
          <w:szCs w:val="22"/>
          <w:lang w:val="en-US"/>
        </w:rPr>
        <w:t xml:space="preserve">Approves the </w:t>
      </w:r>
      <w:r w:rsidR="00FC4DA2">
        <w:rPr>
          <w:rFonts w:ascii="Trebuchet MS" w:eastAsia="Times New Roman" w:hAnsi="Trebuchet MS" w:cs="Arial"/>
          <w:b/>
          <w:noProof/>
          <w:sz w:val="22"/>
          <w:szCs w:val="22"/>
          <w:lang w:val="en-US"/>
        </w:rPr>
        <w:t>Separate</w:t>
      </w:r>
      <w:r w:rsidRPr="00E02F05">
        <w:rPr>
          <w:rFonts w:ascii="Trebuchet MS" w:eastAsia="Times New Roman" w:hAnsi="Trebuchet MS" w:cs="Arial"/>
          <w:b/>
          <w:noProof/>
          <w:sz w:val="22"/>
          <w:szCs w:val="22"/>
          <w:lang w:val="en-US"/>
        </w:rPr>
        <w:t xml:space="preserve"> Financial Statements of S.N.G.N. ROMGAZ S.A. for the year ended on December 31, 2023 prepared in compliance with the Order of the Ministry for Public Finances no. 2844/2016</w:t>
      </w:r>
      <w:r w:rsidRPr="00E02F05">
        <w:rPr>
          <w:rFonts w:ascii="Trebuchet MS" w:hAnsi="Trebuchet MS" w:cs="Arial"/>
          <w:b/>
          <w:noProof/>
          <w:sz w:val="22"/>
          <w:szCs w:val="22"/>
          <w:lang w:val="en-US"/>
        </w:rPr>
        <w:t>”.</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5 on the agenda: </w:t>
      </w:r>
    </w:p>
    <w:p w:rsidR="00E25849" w:rsidRPr="00E02F05" w:rsidRDefault="00E25849" w:rsidP="00E25849">
      <w:pPr>
        <w:jc w:val="both"/>
        <w:rPr>
          <w:rFonts w:ascii="Trebuchet MS" w:hAnsi="Trebuchet MS" w:cs="Arial"/>
          <w:b/>
          <w:iCs/>
          <w:noProof/>
          <w:sz w:val="22"/>
          <w:szCs w:val="22"/>
          <w:lang w:val="en-US"/>
        </w:rPr>
      </w:pPr>
      <w:r w:rsidRPr="00E02F05">
        <w:rPr>
          <w:rFonts w:ascii="Trebuchet MS" w:hAnsi="Trebuchet MS" w:cs="Arial"/>
          <w:b/>
          <w:noProof/>
          <w:sz w:val="22"/>
          <w:szCs w:val="22"/>
          <w:lang w:val="en-US"/>
        </w:rPr>
        <w:t>„</w:t>
      </w:r>
      <w:r w:rsidRPr="00E02F05">
        <w:rPr>
          <w:rFonts w:ascii="Trebuchet MS" w:eastAsia="Times New Roman" w:hAnsi="Trebuchet MS" w:cs="Arial"/>
          <w:b/>
          <w:bCs/>
          <w:noProof/>
          <w:sz w:val="22"/>
          <w:szCs w:val="22"/>
          <w:lang w:val="en-US"/>
        </w:rPr>
        <w:t>Approves the Consolidated Financial Statements of S.N.G.N. ROMGAZ S.A. Group for the year ended on December 31, 2023 prepared in compliance with the Order of the Ministry for Public Finances no. 2844/2016</w:t>
      </w:r>
      <w:r w:rsidRPr="00E02F05">
        <w:rPr>
          <w:rFonts w:ascii="Trebuchet MS" w:hAnsi="Trebuchet MS" w:cs="Arial"/>
          <w:b/>
          <w:noProof/>
          <w:sz w:val="22"/>
          <w:szCs w:val="22"/>
          <w:lang w:val="en-US"/>
        </w:rPr>
        <w:t>”.</w:t>
      </w:r>
    </w:p>
    <w:p w:rsidR="00E25849" w:rsidRPr="00E02F05" w:rsidRDefault="00E25849" w:rsidP="00E25849">
      <w:pPr>
        <w:suppressAutoHyphens w:val="0"/>
        <w:jc w:val="both"/>
        <w:rPr>
          <w:rFonts w:ascii="Trebuchet MS" w:hAnsi="Trebuchet MS" w:cs="Arial"/>
          <w:noProof/>
          <w:sz w:val="22"/>
          <w:szCs w:val="22"/>
          <w:lang w:val="en-US"/>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US"/>
        </w:rPr>
        <w:t>For __________ Against_________</w:t>
      </w:r>
      <w:r w:rsidRPr="00E02F05">
        <w:rPr>
          <w:rFonts w:ascii="Trebuchet MS" w:hAnsi="Trebuchet MS" w:cs="Arial"/>
          <w:noProof/>
          <w:sz w:val="22"/>
          <w:szCs w:val="22"/>
          <w:lang w:val="en-GB"/>
        </w:rPr>
        <w:t xml:space="preserve">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 xml:space="preserve">The draft resolution for item 6 on the agenda: </w:t>
      </w: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25849" w:rsidRPr="00E02F05" w:rsidRDefault="00E25849" w:rsidP="00E25849">
      <w:pPr>
        <w:shd w:val="clear" w:color="auto" w:fill="FFFFFF"/>
        <w:jc w:val="both"/>
        <w:rPr>
          <w:rFonts w:ascii="Trebuchet MS" w:eastAsia="Times New Roman" w:hAnsi="Trebuchet MS" w:cs="Arial"/>
          <w:b/>
          <w:sz w:val="22"/>
          <w:szCs w:val="22"/>
          <w:lang w:val="en-GB"/>
        </w:rPr>
      </w:pPr>
      <w:r w:rsidRPr="00E02F05">
        <w:rPr>
          <w:rFonts w:ascii="Trebuchet MS" w:eastAsia="Times New Roman" w:hAnsi="Trebuchet MS" w:cs="Arial"/>
          <w:b/>
          <w:sz w:val="22"/>
          <w:szCs w:val="22"/>
          <w:lang w:val="en-GB"/>
        </w:rPr>
        <w:t>Approves the distribution of net profit achieved by S.N.G.N. “ROMGAZ”- S.A. in 2023, as follows:</w:t>
      </w:r>
    </w:p>
    <w:tbl>
      <w:tblPr>
        <w:tblW w:w="9698" w:type="dxa"/>
        <w:tblInd w:w="-10" w:type="dxa"/>
        <w:tblLayout w:type="fixed"/>
        <w:tblLook w:val="04A0" w:firstRow="1" w:lastRow="0" w:firstColumn="1" w:lastColumn="0" w:noHBand="0" w:noVBand="1"/>
      </w:tblPr>
      <w:tblGrid>
        <w:gridCol w:w="630"/>
        <w:gridCol w:w="6684"/>
        <w:gridCol w:w="2384"/>
      </w:tblGrid>
      <w:tr w:rsidR="00E25849" w:rsidRPr="00E02F05" w:rsidTr="00AD53DF">
        <w:trPr>
          <w:trHeight w:val="576"/>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I</w:t>
            </w:r>
          </w:p>
        </w:tc>
        <w:tc>
          <w:tcPr>
            <w:tcW w:w="6684" w:type="dxa"/>
            <w:tcBorders>
              <w:top w:val="single" w:sz="8" w:space="0" w:color="auto"/>
              <w:left w:val="nil"/>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Year 2023                                                            (RON)</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0</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1</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2</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A</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3,322,886,111.85</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B</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668,409,596.00</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11,225,825.71</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C.1</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16,425,566.34</w:t>
            </w:r>
          </w:p>
        </w:tc>
      </w:tr>
      <w:tr w:rsidR="00E25849" w:rsidRPr="00E02F05" w:rsidTr="00AD53DF">
        <w:trPr>
          <w:trHeight w:val="360"/>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D</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2,649,276,775.22</w:t>
            </w:r>
          </w:p>
        </w:tc>
      </w:tr>
      <w:tr w:rsidR="00E25849" w:rsidRPr="00E02F05" w:rsidTr="00AD53DF">
        <w:trPr>
          <w:trHeight w:val="43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a</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Legal reserves</w:t>
            </w:r>
          </w:p>
        </w:tc>
        <w:tc>
          <w:tcPr>
            <w:tcW w:w="2384" w:type="dxa"/>
            <w:tcBorders>
              <w:top w:val="nil"/>
              <w:left w:val="nil"/>
              <w:bottom w:val="single" w:sz="4" w:space="0" w:color="auto"/>
              <w:right w:val="single" w:sz="8" w:space="0" w:color="auto"/>
            </w:tcBorders>
            <w:shd w:val="clear" w:color="000000" w:fill="FFFFFF"/>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0.00</w:t>
            </w:r>
          </w:p>
        </w:tc>
      </w:tr>
      <w:tr w:rsidR="00E25849" w:rsidRPr="00E02F05" w:rsidTr="00E25849">
        <w:trPr>
          <w:trHeight w:val="179"/>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lastRenderedPageBreak/>
              <w:t>b</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Other reserves representing fiscal facilities provided by law (Law no. 227/2015 - Article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73,583,376.00</w:t>
            </w:r>
          </w:p>
        </w:tc>
      </w:tr>
      <w:tr w:rsidR="00E25849" w:rsidRPr="00E02F05" w:rsidTr="00AD53DF">
        <w:trPr>
          <w:trHeight w:val="481"/>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Coverage of losses in retained earnings (in accordance with Article 1, paragraph (1), c) of GO no. 64/2001)</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25849" w:rsidRPr="00E02F05" w:rsidTr="00AD53DF">
        <w:trPr>
          <w:trHeight w:val="248"/>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c1</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25849" w:rsidRPr="00E02F05" w:rsidTr="00AD53DF">
        <w:trPr>
          <w:trHeight w:val="42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d</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0.00</w:t>
            </w:r>
            <w:r w:rsidRPr="00E02F05">
              <w:rPr>
                <w:rFonts w:ascii="Trebuchet MS" w:eastAsia="Times New Roman" w:hAnsi="Trebuchet MS" w:cs="Arial"/>
                <w:b/>
                <w:bCs/>
                <w:color w:val="000000"/>
                <w:sz w:val="22"/>
                <w:szCs w:val="22"/>
                <w:lang w:val="en-US"/>
              </w:rPr>
              <w:t> </w:t>
            </w:r>
          </w:p>
        </w:tc>
      </w:tr>
      <w:tr w:rsidR="00E25849" w:rsidRPr="00E02F05" w:rsidTr="00AD53DF">
        <w:trPr>
          <w:trHeight w:val="238"/>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xml:space="preserve">E </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2,575,693,399.22</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e</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vAlign w:val="center"/>
            <w:hideMark/>
          </w:tcPr>
          <w:p w:rsidR="00E25849" w:rsidRPr="00E02F05" w:rsidRDefault="00E25849" w:rsidP="00AD53DF">
            <w:pPr>
              <w:ind w:right="59"/>
              <w:jc w:val="right"/>
              <w:rPr>
                <w:rFonts w:ascii="Trebuchet MS" w:eastAsia="Times New Roman" w:hAnsi="Trebuchet MS" w:cs="Arial"/>
                <w:b/>
                <w:bCs/>
                <w:sz w:val="22"/>
                <w:szCs w:val="22"/>
                <w:lang w:val="en-US"/>
              </w:rPr>
            </w:pPr>
            <w:r w:rsidRPr="00E02F05">
              <w:rPr>
                <w:rFonts w:ascii="Trebuchet MS" w:eastAsia="Times New Roman" w:hAnsi="Trebuchet MS" w:cs="Calibri"/>
                <w:b/>
                <w:bCs/>
                <w:sz w:val="22"/>
                <w:szCs w:val="22"/>
                <w:lang w:val="en-US"/>
              </w:rPr>
              <w:t>42,364,442.00</w:t>
            </w:r>
          </w:p>
        </w:tc>
      </w:tr>
      <w:tr w:rsidR="00E25849" w:rsidRPr="00E02F05" w:rsidTr="00AD53DF">
        <w:trPr>
          <w:trHeight w:val="31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f</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sz w:val="22"/>
                <w:szCs w:val="22"/>
                <w:lang w:val="en-US"/>
              </w:rPr>
              <w:t>Dividends due to shareholders</w:t>
            </w:r>
            <w:r w:rsidRPr="00E02F05">
              <w:rPr>
                <w:rFonts w:ascii="Trebuchet MS" w:eastAsia="Times New Roman" w:hAnsi="Trebuchet MS" w:cs="Arial"/>
                <w:b/>
                <w:bCs/>
                <w:color w:val="000000"/>
                <w:sz w:val="22"/>
                <w:szCs w:val="22"/>
                <w:lang w:val="en-US"/>
              </w:rPr>
              <w:t xml:space="preserve"> (approx. 50.01% of net profit to be distributed) </w:t>
            </w:r>
            <w:r w:rsidRPr="00E02F05">
              <w:rPr>
                <w:rFonts w:ascii="Trebuchet MS" w:eastAsia="Times New Roman" w:hAnsi="Trebuchet MS" w:cs="Arial"/>
                <w:b/>
                <w:bCs/>
                <w:noProof/>
                <w:color w:val="000000"/>
                <w:sz w:val="22"/>
                <w:szCs w:val="22"/>
                <w:lang w:val="en-US"/>
              </w:rPr>
              <w:t>[E+e]*50</w:t>
            </w:r>
            <w:r w:rsidRPr="00E02F05">
              <w:rPr>
                <w:rFonts w:ascii="Trebuchet MS" w:eastAsia="Times New Roman" w:hAnsi="Trebuchet MS" w:cs="Arial"/>
                <w:b/>
                <w:bCs/>
                <w:color w:val="000000"/>
                <w:sz w:val="22"/>
                <w:szCs w:val="22"/>
                <w:lang w:val="en-US"/>
              </w:rPr>
              <w:t>.01%</w:t>
            </w:r>
          </w:p>
        </w:tc>
        <w:tc>
          <w:tcPr>
            <w:tcW w:w="2384" w:type="dxa"/>
            <w:tcBorders>
              <w:top w:val="nil"/>
              <w:left w:val="nil"/>
              <w:bottom w:val="single" w:sz="4" w:space="0" w:color="auto"/>
              <w:right w:val="single" w:sz="8" w:space="0" w:color="auto"/>
            </w:tcBorders>
            <w:shd w:val="clear" w:color="auto" w:fill="auto"/>
            <w:noWrap/>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1,309,279,892.80</w:t>
            </w:r>
          </w:p>
        </w:tc>
      </w:tr>
      <w:tr w:rsidR="00E25849" w:rsidRPr="00E02F05" w:rsidTr="00AD53DF">
        <w:trPr>
          <w:trHeight w:val="50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916,589,002.76</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392,690,890.04</w:t>
            </w:r>
          </w:p>
        </w:tc>
      </w:tr>
      <w:tr w:rsidR="00E25849" w:rsidRPr="00E02F05" w:rsidTr="00AD53DF">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 </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0.3397</w:t>
            </w:r>
          </w:p>
        </w:tc>
      </w:tr>
      <w:tr w:rsidR="00E25849" w:rsidRPr="00E02F05" w:rsidTr="00AD53DF">
        <w:trPr>
          <w:trHeight w:val="37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g</w:t>
            </w:r>
          </w:p>
        </w:tc>
        <w:tc>
          <w:tcPr>
            <w:tcW w:w="6684"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 xml:space="preserve">Profit for </w:t>
            </w:r>
            <w:r w:rsidRPr="00E02F05">
              <w:rPr>
                <w:rFonts w:ascii="Trebuchet MS" w:eastAsia="Times New Roman" w:hAnsi="Trebuchet MS" w:cs="Arial"/>
                <w:b/>
                <w:bCs/>
                <w:sz w:val="22"/>
                <w:szCs w:val="22"/>
                <w:lang w:val="en-US"/>
              </w:rPr>
              <w:t>establishing own financing sources</w:t>
            </w:r>
            <w:r w:rsidRPr="00E02F05">
              <w:rPr>
                <w:rFonts w:ascii="Trebuchet MS" w:eastAsia="Times New Roman" w:hAnsi="Trebuchet MS" w:cs="Arial"/>
                <w:b/>
                <w:bCs/>
                <w:color w:val="000000"/>
                <w:sz w:val="22"/>
                <w:szCs w:val="22"/>
                <w:lang w:val="en-US"/>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Calibri"/>
                <w:b/>
                <w:bCs/>
                <w:color w:val="000000"/>
                <w:sz w:val="22"/>
                <w:szCs w:val="22"/>
                <w:lang w:val="en-US"/>
              </w:rPr>
              <w:t>1,266,413,506.42</w:t>
            </w:r>
          </w:p>
        </w:tc>
      </w:tr>
      <w:tr w:rsidR="00E25849" w:rsidRPr="00E02F05" w:rsidTr="00AD53DF">
        <w:trPr>
          <w:trHeight w:val="419"/>
        </w:trPr>
        <w:tc>
          <w:tcPr>
            <w:tcW w:w="630" w:type="dxa"/>
            <w:tcBorders>
              <w:top w:val="nil"/>
              <w:left w:val="single" w:sz="8" w:space="0" w:color="auto"/>
              <w:bottom w:val="single" w:sz="8" w:space="0" w:color="auto"/>
              <w:right w:val="single" w:sz="4" w:space="0" w:color="auto"/>
            </w:tcBorders>
            <w:shd w:val="clear" w:color="auto" w:fill="auto"/>
            <w:vAlign w:val="center"/>
            <w:hideMark/>
          </w:tcPr>
          <w:p w:rsidR="00E25849" w:rsidRPr="00E02F05" w:rsidRDefault="00E25849" w:rsidP="00AD53DF">
            <w:pPr>
              <w:ind w:right="59"/>
              <w:jc w:val="center"/>
              <w:rPr>
                <w:rFonts w:ascii="Trebuchet MS" w:eastAsia="Times New Roman" w:hAnsi="Trebuchet MS" w:cs="Arial"/>
                <w:b/>
                <w:bCs/>
                <w:sz w:val="22"/>
                <w:szCs w:val="22"/>
                <w:lang w:val="en-US"/>
              </w:rPr>
            </w:pPr>
            <w:r w:rsidRPr="00E02F05">
              <w:rPr>
                <w:rFonts w:ascii="Trebuchet MS" w:eastAsia="Times New Roman" w:hAnsi="Trebuchet MS" w:cs="Arial"/>
                <w:b/>
                <w:bCs/>
                <w:sz w:val="22"/>
                <w:szCs w:val="22"/>
                <w:lang w:val="en-US"/>
              </w:rPr>
              <w:t>*</w:t>
            </w:r>
          </w:p>
        </w:tc>
        <w:tc>
          <w:tcPr>
            <w:tcW w:w="6684" w:type="dxa"/>
            <w:tcBorders>
              <w:top w:val="nil"/>
              <w:left w:val="nil"/>
              <w:bottom w:val="single" w:sz="8" w:space="0" w:color="auto"/>
              <w:right w:val="single" w:sz="4" w:space="0" w:color="auto"/>
            </w:tcBorders>
            <w:shd w:val="clear" w:color="auto" w:fill="auto"/>
            <w:vAlign w:val="center"/>
            <w:hideMark/>
          </w:tcPr>
          <w:p w:rsidR="00E25849" w:rsidRPr="00E02F05" w:rsidRDefault="00E25849" w:rsidP="00AD53DF">
            <w:pPr>
              <w:ind w:right="59"/>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TOTAL DISTRIBUTIONS [a+b+c+c1+d+f+g]</w:t>
            </w:r>
          </w:p>
        </w:tc>
        <w:tc>
          <w:tcPr>
            <w:tcW w:w="2384" w:type="dxa"/>
            <w:tcBorders>
              <w:top w:val="nil"/>
              <w:left w:val="nil"/>
              <w:bottom w:val="single" w:sz="8" w:space="0" w:color="auto"/>
              <w:right w:val="single" w:sz="8" w:space="0" w:color="auto"/>
            </w:tcBorders>
            <w:shd w:val="clear" w:color="auto" w:fill="auto"/>
            <w:vAlign w:val="center"/>
            <w:hideMark/>
          </w:tcPr>
          <w:p w:rsidR="00E25849" w:rsidRPr="00E02F05" w:rsidRDefault="00E25849" w:rsidP="00AD53DF">
            <w:pPr>
              <w:ind w:right="59"/>
              <w:jc w:val="right"/>
              <w:rPr>
                <w:rFonts w:ascii="Trebuchet MS" w:eastAsia="Times New Roman" w:hAnsi="Trebuchet MS" w:cs="Arial"/>
                <w:b/>
                <w:bCs/>
                <w:color w:val="000000"/>
                <w:sz w:val="22"/>
                <w:szCs w:val="22"/>
                <w:lang w:val="en-US"/>
              </w:rPr>
            </w:pPr>
            <w:r w:rsidRPr="00E02F05">
              <w:rPr>
                <w:rFonts w:ascii="Trebuchet MS" w:eastAsia="Times New Roman" w:hAnsi="Trebuchet MS" w:cs="Arial"/>
                <w:b/>
                <w:bCs/>
                <w:color w:val="000000"/>
                <w:sz w:val="22"/>
                <w:szCs w:val="22"/>
                <w:lang w:val="en-US"/>
              </w:rPr>
              <w:t>2,649,276,775.22</w:t>
            </w:r>
          </w:p>
        </w:tc>
      </w:tr>
    </w:tbl>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25849" w:rsidRPr="00E02F05" w:rsidRDefault="00E25849" w:rsidP="00E25849">
      <w:pPr>
        <w:shd w:val="clear" w:color="auto" w:fill="FFFFFF"/>
        <w:jc w:val="both"/>
        <w:rPr>
          <w:rFonts w:ascii="Trebuchet MS" w:eastAsia="Times New Roman" w:hAnsi="Trebuchet MS" w:cs="Arial"/>
          <w:b/>
          <w:sz w:val="22"/>
          <w:szCs w:val="22"/>
          <w:lang w:val="en-GB"/>
        </w:rPr>
      </w:pPr>
      <w:r w:rsidRPr="00E02F05">
        <w:rPr>
          <w:rFonts w:ascii="Trebuchet MS" w:eastAsia="Times New Roman" w:hAnsi="Trebuchet MS" w:cs="Arial"/>
          <w:b/>
          <w:sz w:val="22"/>
          <w:szCs w:val="22"/>
          <w:lang w:val="en-GB"/>
        </w:rPr>
        <w:t>Approves the distribution of net profit achieved by S.N.G.N. “ROMGAZ”- S.A. in 2023, as follows:</w:t>
      </w:r>
    </w:p>
    <w:tbl>
      <w:tblPr>
        <w:tblW w:w="0" w:type="auto"/>
        <w:tblInd w:w="-10" w:type="dxa"/>
        <w:tblLayout w:type="fixed"/>
        <w:tblLook w:val="04A0" w:firstRow="1" w:lastRow="0" w:firstColumn="1" w:lastColumn="0" w:noHBand="0" w:noVBand="1"/>
      </w:tblPr>
      <w:tblGrid>
        <w:gridCol w:w="681"/>
        <w:gridCol w:w="6633"/>
        <w:gridCol w:w="2384"/>
      </w:tblGrid>
      <w:tr w:rsidR="00E25849" w:rsidRPr="00E02F05" w:rsidTr="00AD53DF">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Year 2023                                                            (RON)</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0</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1</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2</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A</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3,322,886,111.85</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B</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668,409,596.00</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11,225,825.71</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C.1</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16,425,566.34</w:t>
            </w:r>
          </w:p>
        </w:tc>
      </w:tr>
      <w:tr w:rsidR="00E25849" w:rsidRPr="00E02F05" w:rsidTr="00AD53DF">
        <w:trPr>
          <w:trHeight w:val="437"/>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D</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2,649,276,775.22</w:t>
            </w:r>
          </w:p>
        </w:tc>
      </w:tr>
      <w:tr w:rsidR="00E25849" w:rsidRPr="00E02F05" w:rsidTr="00AD53DF">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a</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0.00</w:t>
            </w:r>
          </w:p>
        </w:tc>
      </w:tr>
      <w:tr w:rsidR="00E25849" w:rsidRPr="00E02F05" w:rsidTr="00AD53DF">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b</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73,583,376.00</w:t>
            </w:r>
          </w:p>
        </w:tc>
      </w:tr>
      <w:tr w:rsidR="00E25849" w:rsidRPr="00E02F05" w:rsidTr="00AD53DF">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25849" w:rsidRPr="00E02F05" w:rsidTr="00AD53DF">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c1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25849" w:rsidRPr="00E02F05" w:rsidTr="00AD53DF">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d</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0.00</w:t>
            </w:r>
            <w:r w:rsidRPr="00E02F05">
              <w:rPr>
                <w:rFonts w:ascii="Trebuchet MS" w:eastAsia="Calibri" w:hAnsi="Trebuchet MS" w:cs="Arial"/>
                <w:b/>
                <w:bCs/>
                <w:color w:val="000000"/>
                <w:position w:val="8"/>
                <w:sz w:val="22"/>
                <w:szCs w:val="22"/>
                <w:lang w:val="en-US"/>
              </w:rPr>
              <w:t> </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2,575,693,399.22</w:t>
            </w:r>
          </w:p>
        </w:tc>
      </w:tr>
      <w:tr w:rsidR="00E25849" w:rsidRPr="00E02F05" w:rsidTr="00AD53DF">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e</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E25849" w:rsidRPr="00E02F05" w:rsidRDefault="00E25849" w:rsidP="00AD53DF">
            <w:pPr>
              <w:suppressAutoHyphens w:val="0"/>
              <w:ind w:right="59"/>
              <w:jc w:val="right"/>
              <w:rPr>
                <w:rFonts w:ascii="Trebuchet MS" w:eastAsia="Calibri" w:hAnsi="Trebuchet MS" w:cs="Arial"/>
                <w:b/>
                <w:bCs/>
                <w:position w:val="8"/>
                <w:sz w:val="22"/>
                <w:szCs w:val="22"/>
                <w:lang w:val="en-US"/>
              </w:rPr>
            </w:pPr>
            <w:r w:rsidRPr="00E02F05">
              <w:rPr>
                <w:rFonts w:ascii="Trebuchet MS" w:eastAsia="Calibri" w:hAnsi="Trebuchet MS" w:cs="Calibri"/>
                <w:b/>
                <w:bCs/>
                <w:position w:val="8"/>
                <w:sz w:val="22"/>
                <w:szCs w:val="22"/>
                <w:lang w:val="en-US"/>
              </w:rPr>
              <w:t>42,364,442.00</w:t>
            </w:r>
          </w:p>
        </w:tc>
      </w:tr>
      <w:tr w:rsidR="00E25849" w:rsidRPr="00E02F05" w:rsidTr="00AD53DF">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f</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position w:val="8"/>
                <w:sz w:val="22"/>
                <w:szCs w:val="22"/>
                <w:lang w:val="en-US"/>
              </w:rPr>
              <w:t>Dividends due to shareholders</w:t>
            </w:r>
            <w:r w:rsidRPr="00E02F05">
              <w:rPr>
                <w:rFonts w:ascii="Trebuchet MS" w:eastAsia="Calibri" w:hAnsi="Trebuchet MS" w:cs="Arial"/>
                <w:b/>
                <w:bCs/>
                <w:color w:val="000000"/>
                <w:position w:val="8"/>
                <w:sz w:val="22"/>
                <w:szCs w:val="22"/>
                <w:lang w:val="en-US"/>
              </w:rPr>
              <w:t xml:space="preserve"> (approx. 20.01% of net profit to be distributed) </w:t>
            </w:r>
            <w:r w:rsidRPr="00E02F05">
              <w:rPr>
                <w:rFonts w:ascii="Trebuchet MS" w:eastAsia="Calibri" w:hAnsi="Trebuchet MS" w:cs="Arial"/>
                <w:b/>
                <w:bCs/>
                <w:noProof/>
                <w:color w:val="000000"/>
                <w:position w:val="8"/>
                <w:sz w:val="22"/>
                <w:szCs w:val="22"/>
                <w:lang w:val="en-US"/>
              </w:rPr>
              <w:t>[E+e]*</w:t>
            </w:r>
            <w:r w:rsidRPr="00E02F05">
              <w:rPr>
                <w:rFonts w:ascii="Trebuchet MS" w:eastAsia="Calibri" w:hAnsi="Trebuchet MS" w:cs="Arial"/>
                <w:b/>
                <w:bCs/>
                <w:color w:val="000000"/>
                <w:position w:val="8"/>
                <w:sz w:val="22"/>
                <w:szCs w:val="22"/>
                <w:lang w:val="en-US"/>
              </w:rPr>
              <w:t>20.01%</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523,789,041.60</w:t>
            </w:r>
          </w:p>
        </w:tc>
      </w:tr>
      <w:tr w:rsidR="00E25849" w:rsidRPr="00E02F05" w:rsidTr="00AD53DF">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366,689,565.72</w:t>
            </w:r>
          </w:p>
        </w:tc>
      </w:tr>
      <w:tr w:rsidR="00E25849" w:rsidRPr="00E02F05" w:rsidTr="00AD53DF">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lastRenderedPageBreak/>
              <w:t> </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f2) – dividends to other shareholders </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157,099,475.88</w:t>
            </w:r>
          </w:p>
        </w:tc>
      </w:tr>
      <w:tr w:rsidR="00E25849" w:rsidRPr="00E02F05" w:rsidTr="00AD53DF">
        <w:trPr>
          <w:trHeight w:val="372"/>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 </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                    - dividend/share (RON/share)</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0.1359</w:t>
            </w:r>
          </w:p>
        </w:tc>
      </w:tr>
      <w:tr w:rsidR="00E25849" w:rsidRPr="00E02F05" w:rsidTr="00AD53DF">
        <w:trPr>
          <w:trHeight w:val="372"/>
        </w:trPr>
        <w:tc>
          <w:tcPr>
            <w:tcW w:w="681" w:type="dxa"/>
            <w:tcBorders>
              <w:top w:val="nil"/>
              <w:left w:val="single" w:sz="8" w:space="0" w:color="auto"/>
              <w:bottom w:val="single" w:sz="4" w:space="0" w:color="auto"/>
              <w:right w:val="single" w:sz="4" w:space="0" w:color="auto"/>
            </w:tcBorders>
            <w:shd w:val="clear" w:color="auto" w:fill="auto"/>
            <w:vAlign w:val="center"/>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g</w:t>
            </w:r>
          </w:p>
        </w:tc>
        <w:tc>
          <w:tcPr>
            <w:tcW w:w="6633" w:type="dxa"/>
            <w:tcBorders>
              <w:top w:val="nil"/>
              <w:left w:val="nil"/>
              <w:bottom w:val="single" w:sz="4" w:space="0" w:color="auto"/>
              <w:right w:val="single" w:sz="4" w:space="0" w:color="auto"/>
            </w:tcBorders>
            <w:shd w:val="clear" w:color="auto" w:fill="auto"/>
            <w:vAlign w:val="center"/>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Profit for establishing reserves used to finance major investment projects or of national interest or to finance subsidiaries involved in such projects</w:t>
            </w:r>
          </w:p>
        </w:tc>
        <w:tc>
          <w:tcPr>
            <w:tcW w:w="2384" w:type="dxa"/>
            <w:tcBorders>
              <w:top w:val="nil"/>
              <w:left w:val="nil"/>
              <w:bottom w:val="single" w:sz="4" w:space="0" w:color="auto"/>
              <w:right w:val="single" w:sz="8" w:space="0" w:color="auto"/>
            </w:tcBorders>
            <w:shd w:val="clear" w:color="auto" w:fill="auto"/>
            <w:vAlign w:val="center"/>
          </w:tcPr>
          <w:p w:rsidR="00E25849" w:rsidRPr="00E02F05" w:rsidRDefault="00E25849" w:rsidP="00AD53DF">
            <w:pPr>
              <w:suppressAutoHyphens w:val="0"/>
              <w:ind w:right="59"/>
              <w:jc w:val="right"/>
              <w:rPr>
                <w:rFonts w:ascii="Trebuchet MS" w:eastAsia="Calibri" w:hAnsi="Trebuchet MS" w:cs="Calibri"/>
                <w:b/>
                <w:bCs/>
                <w:color w:val="000000"/>
                <w:position w:val="8"/>
                <w:sz w:val="22"/>
                <w:szCs w:val="22"/>
                <w:lang w:val="en-US"/>
              </w:rPr>
            </w:pPr>
            <w:r w:rsidRPr="00E02F05">
              <w:rPr>
                <w:rFonts w:ascii="Trebuchet MS" w:eastAsia="Calibri" w:hAnsi="Trebuchet MS" w:cs="Calibri"/>
                <w:b/>
                <w:bCs/>
                <w:color w:val="000000"/>
                <w:position w:val="8"/>
                <w:sz w:val="22"/>
                <w:szCs w:val="22"/>
                <w:lang w:val="en-US"/>
              </w:rPr>
              <w:t>785,490,851.20</w:t>
            </w:r>
          </w:p>
        </w:tc>
      </w:tr>
      <w:tr w:rsidR="00E25849" w:rsidRPr="00E02F05" w:rsidTr="00AD53DF">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h</w:t>
            </w:r>
          </w:p>
        </w:tc>
        <w:tc>
          <w:tcPr>
            <w:tcW w:w="6633" w:type="dxa"/>
            <w:tcBorders>
              <w:top w:val="nil"/>
              <w:left w:val="nil"/>
              <w:bottom w:val="single" w:sz="4"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 xml:space="preserve">Profit for </w:t>
            </w:r>
            <w:r w:rsidRPr="00E02F05">
              <w:rPr>
                <w:rFonts w:ascii="Trebuchet MS" w:eastAsia="Calibri" w:hAnsi="Trebuchet MS" w:cs="Arial"/>
                <w:b/>
                <w:bCs/>
                <w:position w:val="8"/>
                <w:sz w:val="22"/>
                <w:szCs w:val="22"/>
                <w:lang w:val="en-US"/>
              </w:rPr>
              <w:t>establishing own financing sources</w:t>
            </w:r>
            <w:r w:rsidRPr="00E02F05">
              <w:rPr>
                <w:rFonts w:ascii="Trebuchet MS" w:eastAsia="Calibri" w:hAnsi="Trebuchet MS" w:cs="Arial"/>
                <w:b/>
                <w:bCs/>
                <w:color w:val="000000"/>
                <w:position w:val="8"/>
                <w:sz w:val="22"/>
                <w:szCs w:val="22"/>
                <w:lang w:val="en-US"/>
              </w:rPr>
              <w:t xml:space="preserve"> [E-f-g]</w:t>
            </w:r>
          </w:p>
        </w:tc>
        <w:tc>
          <w:tcPr>
            <w:tcW w:w="2384" w:type="dxa"/>
            <w:tcBorders>
              <w:top w:val="nil"/>
              <w:left w:val="nil"/>
              <w:bottom w:val="single" w:sz="4"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Calibri"/>
                <w:b/>
                <w:bCs/>
                <w:color w:val="000000"/>
                <w:position w:val="8"/>
                <w:sz w:val="22"/>
                <w:szCs w:val="22"/>
                <w:lang w:val="en-US"/>
              </w:rPr>
              <w:t>1,266,413,506.42</w:t>
            </w:r>
          </w:p>
        </w:tc>
      </w:tr>
      <w:tr w:rsidR="00E25849" w:rsidRPr="00E02F05" w:rsidTr="00AD53DF">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E25849" w:rsidRPr="00E02F05" w:rsidRDefault="00E25849" w:rsidP="00AD53DF">
            <w:pPr>
              <w:suppressAutoHyphens w:val="0"/>
              <w:ind w:right="59"/>
              <w:jc w:val="center"/>
              <w:rPr>
                <w:rFonts w:ascii="Trebuchet MS" w:eastAsia="Calibri" w:hAnsi="Trebuchet MS" w:cs="Arial"/>
                <w:b/>
                <w:bCs/>
                <w:position w:val="8"/>
                <w:sz w:val="22"/>
                <w:szCs w:val="22"/>
                <w:lang w:val="en-US"/>
              </w:rPr>
            </w:pPr>
            <w:r w:rsidRPr="00E02F05">
              <w:rPr>
                <w:rFonts w:ascii="Trebuchet MS" w:eastAsia="Calibri" w:hAnsi="Trebuchet MS" w:cs="Arial"/>
                <w:b/>
                <w:bCs/>
                <w:position w:val="8"/>
                <w:sz w:val="22"/>
                <w:szCs w:val="22"/>
                <w:lang w:val="en-US"/>
              </w:rPr>
              <w:t>*</w:t>
            </w:r>
          </w:p>
        </w:tc>
        <w:tc>
          <w:tcPr>
            <w:tcW w:w="6633" w:type="dxa"/>
            <w:tcBorders>
              <w:top w:val="nil"/>
              <w:left w:val="nil"/>
              <w:bottom w:val="single" w:sz="8" w:space="0" w:color="auto"/>
              <w:right w:val="single" w:sz="4" w:space="0" w:color="auto"/>
            </w:tcBorders>
            <w:shd w:val="clear" w:color="auto" w:fill="auto"/>
            <w:vAlign w:val="center"/>
            <w:hideMark/>
          </w:tcPr>
          <w:p w:rsidR="00E25849" w:rsidRPr="00E02F05" w:rsidRDefault="00E25849" w:rsidP="00AD53DF">
            <w:pPr>
              <w:suppressAutoHyphens w:val="0"/>
              <w:ind w:right="59"/>
              <w:jc w:val="both"/>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TOTAL DISTRIBUTIONS [a+b+c+c1+d+f+g+h]</w:t>
            </w:r>
          </w:p>
        </w:tc>
        <w:tc>
          <w:tcPr>
            <w:tcW w:w="2384" w:type="dxa"/>
            <w:tcBorders>
              <w:top w:val="nil"/>
              <w:left w:val="nil"/>
              <w:bottom w:val="single" w:sz="8" w:space="0" w:color="auto"/>
              <w:right w:val="single" w:sz="8" w:space="0" w:color="auto"/>
            </w:tcBorders>
            <w:shd w:val="clear" w:color="auto" w:fill="auto"/>
            <w:vAlign w:val="center"/>
            <w:hideMark/>
          </w:tcPr>
          <w:p w:rsidR="00E25849" w:rsidRPr="00E02F05" w:rsidRDefault="00E25849" w:rsidP="00AD53DF">
            <w:pPr>
              <w:suppressAutoHyphens w:val="0"/>
              <w:ind w:right="59"/>
              <w:jc w:val="right"/>
              <w:rPr>
                <w:rFonts w:ascii="Trebuchet MS" w:eastAsia="Calibri" w:hAnsi="Trebuchet MS" w:cs="Arial"/>
                <w:b/>
                <w:bCs/>
                <w:color w:val="000000"/>
                <w:position w:val="8"/>
                <w:sz w:val="22"/>
                <w:szCs w:val="22"/>
                <w:lang w:val="en-US"/>
              </w:rPr>
            </w:pPr>
            <w:r w:rsidRPr="00E02F05">
              <w:rPr>
                <w:rFonts w:ascii="Trebuchet MS" w:eastAsia="Calibri" w:hAnsi="Trebuchet MS" w:cs="Arial"/>
                <w:b/>
                <w:bCs/>
                <w:color w:val="000000"/>
                <w:position w:val="8"/>
                <w:sz w:val="22"/>
                <w:szCs w:val="22"/>
                <w:lang w:val="en-US"/>
              </w:rPr>
              <w:t>2,649,276,775.22</w:t>
            </w:r>
          </w:p>
        </w:tc>
      </w:tr>
    </w:tbl>
    <w:p w:rsidR="00E25849" w:rsidRPr="00E02F05" w:rsidRDefault="00E25849" w:rsidP="00E25849">
      <w:pPr>
        <w:shd w:val="clear" w:color="auto" w:fill="FFFFFF"/>
        <w:jc w:val="both"/>
        <w:rPr>
          <w:rFonts w:ascii="Trebuchet MS" w:eastAsia="Times New Roman"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7 on the agenda:</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 xml:space="preserve">Approves the gross dividend of RON </w:t>
      </w:r>
      <w:r w:rsidRPr="00E02F05">
        <w:rPr>
          <w:rFonts w:ascii="Trebuchet MS" w:eastAsia="Times New Roman" w:hAnsi="Trebuchet MS" w:cs="Calibri"/>
          <w:b/>
          <w:bCs/>
          <w:color w:val="000000"/>
          <w:sz w:val="22"/>
          <w:szCs w:val="22"/>
          <w:lang w:val="en-US"/>
        </w:rPr>
        <w:t xml:space="preserve">0.3397 </w:t>
      </w:r>
      <w:r w:rsidRPr="00E02F05">
        <w:rPr>
          <w:rFonts w:ascii="Trebuchet MS" w:hAnsi="Trebuchet MS" w:cs="Arial"/>
          <w:b/>
          <w:iCs/>
          <w:sz w:val="22"/>
          <w:szCs w:val="22"/>
          <w:lang w:val="en-GB"/>
        </w:rPr>
        <w:t>per share, distributed from the net profit achieved in 2023</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0.1359 per share, distributed from the net profit achieved in 2023</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8 on the agenda:</w:t>
      </w: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25849" w:rsidRPr="00E02F05" w:rsidRDefault="00E25849" w:rsidP="00E25849">
      <w:pPr>
        <w:ind w:right="22"/>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E25849" w:rsidRPr="00E02F05" w:rsidRDefault="00E25849" w:rsidP="00E25849">
      <w:pPr>
        <w:ind w:right="22"/>
        <w:jc w:val="both"/>
        <w:rPr>
          <w:rFonts w:ascii="Trebuchet MS" w:hAnsi="Trebuchet MS" w:cs="Arial"/>
          <w:b/>
          <w:iCs/>
          <w:sz w:val="22"/>
          <w:szCs w:val="22"/>
          <w:lang w:val="en-GB"/>
        </w:rPr>
      </w:pPr>
    </w:p>
    <w:p w:rsidR="00E25849" w:rsidRPr="00E02F05" w:rsidRDefault="00E25849" w:rsidP="00E25849">
      <w:pPr>
        <w:numPr>
          <w:ilvl w:val="0"/>
          <w:numId w:val="12"/>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63,209,273.60 as dividends, representing approximately 50.30% of the total value, the dividend/share being RON 0.0164;</w:t>
      </w:r>
    </w:p>
    <w:p w:rsidR="00E25849" w:rsidRPr="00E02F05" w:rsidRDefault="00E25849" w:rsidP="00E25849">
      <w:pPr>
        <w:numPr>
          <w:ilvl w:val="0"/>
          <w:numId w:val="12"/>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62,453,768.78 for own financing sources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25849" w:rsidRPr="00E02F05" w:rsidRDefault="00E25849" w:rsidP="00E25849">
      <w:pPr>
        <w:ind w:right="22"/>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E25849" w:rsidRPr="00E02F05" w:rsidRDefault="00E25849" w:rsidP="00E25849">
      <w:pPr>
        <w:ind w:right="22"/>
        <w:jc w:val="both"/>
        <w:rPr>
          <w:rFonts w:ascii="Trebuchet MS" w:hAnsi="Trebuchet MS" w:cs="Arial"/>
          <w:b/>
          <w:iCs/>
          <w:sz w:val="22"/>
          <w:szCs w:val="22"/>
          <w:lang w:val="en-GB"/>
        </w:rPr>
      </w:pPr>
    </w:p>
    <w:p w:rsidR="00E25849" w:rsidRPr="00E02F05" w:rsidRDefault="00E25849" w:rsidP="00E25849">
      <w:pPr>
        <w:numPr>
          <w:ilvl w:val="0"/>
          <w:numId w:val="11"/>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25,437,878.40 as dividends, representing approximately 20.24% of the total value, the dividend/share being RON 0.0066;</w:t>
      </w:r>
    </w:p>
    <w:p w:rsidR="00E25849" w:rsidRPr="00E02F05" w:rsidRDefault="00E25849" w:rsidP="00E25849">
      <w:pPr>
        <w:numPr>
          <w:ilvl w:val="0"/>
          <w:numId w:val="11"/>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62,453,768.78 for own financing sources;</w:t>
      </w:r>
    </w:p>
    <w:p w:rsidR="00E25849" w:rsidRPr="00E02F05" w:rsidRDefault="00E25849" w:rsidP="00E25849">
      <w:pPr>
        <w:numPr>
          <w:ilvl w:val="0"/>
          <w:numId w:val="11"/>
        </w:numPr>
        <w:ind w:right="22"/>
        <w:contextualSpacing/>
        <w:jc w:val="both"/>
        <w:rPr>
          <w:rFonts w:ascii="Trebuchet MS" w:hAnsi="Trebuchet MS" w:cs="Arial"/>
          <w:b/>
          <w:iCs/>
          <w:sz w:val="22"/>
          <w:szCs w:val="22"/>
          <w:lang w:val="en-GB"/>
        </w:rPr>
      </w:pPr>
      <w:r w:rsidRPr="00E02F05">
        <w:rPr>
          <w:rFonts w:ascii="Trebuchet MS" w:hAnsi="Trebuchet MS" w:cs="Arial"/>
          <w:b/>
          <w:iCs/>
          <w:sz w:val="22"/>
          <w:szCs w:val="22"/>
          <w:lang w:val="en-GB"/>
        </w:rPr>
        <w:t>RON 37,771,395.20 for establishing reserves used to finance major investment projects or of national interest or to finance subsidiaries involved in such projects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The draft resolution for item 9 on the agenda:</w:t>
      </w: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25849" w:rsidRPr="00E02F05" w:rsidRDefault="00E25849" w:rsidP="00E25849">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0.0164 per share, distributed from retained earnings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25849" w:rsidRPr="00E02F05" w:rsidRDefault="00E25849" w:rsidP="00E25849">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gross dividend of RON 0.0066 per share, distributed from retained earnings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10 on the agenda:</w:t>
      </w: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total gross dividend per share in amount of RON 0.3561, out of which RON 0.3397 per share related to the 2023 result and RON 0.0164 per share related to retained earnings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b/>
          <w:noProof/>
          <w:sz w:val="22"/>
          <w:szCs w:val="22"/>
          <w:lang w:val="en-GB"/>
        </w:rPr>
      </w:pPr>
      <w:r w:rsidRPr="00E02F05">
        <w:rPr>
          <w:rFonts w:ascii="Trebuchet MS" w:hAnsi="Trebuchet MS" w:cs="Arial"/>
          <w:b/>
          <w:noProof/>
          <w:sz w:val="22"/>
          <w:szCs w:val="22"/>
          <w:lang w:val="en-GB"/>
        </w:rPr>
        <w:t>Option II</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total gross dividend per share in amount of RON 0.1425, out of which RON 0.1359 per share related to the 2023 result and RON 0.0066 per share related to retained earnings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11 on the agenda:</w:t>
      </w:r>
    </w:p>
    <w:p w:rsidR="00E25849" w:rsidRPr="00E02F05" w:rsidRDefault="00E25849" w:rsidP="00E25849">
      <w:pPr>
        <w:jc w:val="both"/>
        <w:rPr>
          <w:rFonts w:ascii="Trebuchet MS" w:hAnsi="Trebuchet MS" w:cs="Arial"/>
          <w:b/>
          <w:iCs/>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26, 2024 as Payment Day, for payment of dividends due to shareholders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pacing w:before="240"/>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12 on the agenda:</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Approves the employees’ participation in profit, in accordance with the provisions of Government Ordinance no. 64/2001, in amount of RON 42,364,442.00</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pacing w:before="240"/>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13 on the agenda:</w:t>
      </w:r>
    </w:p>
    <w:p w:rsidR="00E25849" w:rsidRPr="00E02F05" w:rsidRDefault="00E25849" w:rsidP="00E25849">
      <w:pPr>
        <w:ind w:right="9"/>
        <w:jc w:val="both"/>
        <w:rPr>
          <w:rFonts w:ascii="Trebuchet MS" w:hAnsi="Trebuchet MS" w:cs="Arial"/>
          <w:b/>
          <w:noProof/>
          <w:sz w:val="22"/>
          <w:szCs w:val="22"/>
          <w:lang w:val="en-GB"/>
        </w:rPr>
      </w:pPr>
      <w:r w:rsidRPr="00E02F05">
        <w:rPr>
          <w:rFonts w:ascii="Trebuchet MS" w:hAnsi="Trebuchet MS" w:cs="Arial"/>
          <w:b/>
          <w:noProof/>
          <w:sz w:val="22"/>
          <w:szCs w:val="22"/>
          <w:lang w:val="en-GB"/>
        </w:rPr>
        <w:t>„Takes note of the 2023 Annual Report of the Nomination and Remuneration Committee on the remuneration benefits and/or other advantages granted to the Members of the Board and Officers of S.N.G.N. ROMGAZ S.A.”.</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14 on the agenda:</w:t>
      </w:r>
    </w:p>
    <w:p w:rsidR="00E25849" w:rsidRPr="00E02F05" w:rsidRDefault="00E25849" w:rsidP="00E25849">
      <w:pPr>
        <w:suppressAutoHyphens w:val="0"/>
        <w:jc w:val="both"/>
        <w:rPr>
          <w:rFonts w:ascii="Trebuchet MS" w:hAnsi="Trebuchet MS" w:cs="Arial"/>
          <w:b/>
          <w:sz w:val="22"/>
          <w:szCs w:val="22"/>
          <w:lang w:val="en-GB"/>
        </w:rPr>
      </w:pPr>
      <w:r w:rsidRPr="00E02F05">
        <w:rPr>
          <w:rFonts w:ascii="Trebuchet MS" w:hAnsi="Trebuchet MS" w:cs="Arial"/>
          <w:b/>
          <w:noProof/>
          <w:sz w:val="22"/>
          <w:szCs w:val="22"/>
          <w:lang w:val="en-GB"/>
        </w:rPr>
        <w:t>„Approves the budgetary discharge of the Board members for the financial year 2023”.</w:t>
      </w:r>
    </w:p>
    <w:p w:rsidR="00E25849" w:rsidRPr="00E02F05" w:rsidRDefault="00E25849" w:rsidP="00E25849">
      <w:pPr>
        <w:suppressAutoHyphens w:val="0"/>
        <w:jc w:val="both"/>
        <w:rPr>
          <w:rFonts w:ascii="Trebuchet MS" w:hAnsi="Trebuchet MS" w:cs="Arial"/>
          <w:noProof/>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Default="00E25849" w:rsidP="00E25849">
      <w:pPr>
        <w:shd w:val="clear" w:color="auto" w:fill="FFFFFF"/>
        <w:jc w:val="both"/>
        <w:rPr>
          <w:rFonts w:ascii="Trebuchet MS" w:eastAsia="Times New Roman" w:hAnsi="Trebuchet MS" w:cs="Arial"/>
          <w:i/>
          <w:noProof/>
          <w:sz w:val="22"/>
          <w:szCs w:val="22"/>
          <w:lang w:val="en-GB" w:eastAsia="ro-RO"/>
        </w:rPr>
      </w:pPr>
    </w:p>
    <w:p w:rsidR="00E25849"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lastRenderedPageBreak/>
        <w:t>The draft resolution for item 15 on the agenda:</w:t>
      </w:r>
    </w:p>
    <w:p w:rsidR="00E25849" w:rsidRPr="00E02F05" w:rsidRDefault="00E25849" w:rsidP="00E25849">
      <w:pPr>
        <w:shd w:val="clear" w:color="auto" w:fill="FFFFFF"/>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Takes note of the Report on payments made to governments in 2023</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pacing w:before="240"/>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17 on the agenda:</w:t>
      </w:r>
    </w:p>
    <w:p w:rsidR="00E25849" w:rsidRPr="00E02F05" w:rsidRDefault="00E25849" w:rsidP="00E25849">
      <w:pPr>
        <w:shd w:val="clear" w:color="auto" w:fill="FFFFFF"/>
        <w:jc w:val="both"/>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Sets the minimum term for the financial audit contract to three years for providing specific services for years 2024, 2025 and 2026</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18 on the agenda:</w:t>
      </w:r>
    </w:p>
    <w:p w:rsidR="00E25849" w:rsidRPr="00E02F05" w:rsidRDefault="00E25849" w:rsidP="005C5B73">
      <w:pPr>
        <w:shd w:val="clear" w:color="auto" w:fill="FFFFFF"/>
        <w:jc w:val="both"/>
        <w:rPr>
          <w:rFonts w:ascii="Trebuchet MS" w:eastAsia="Times New Roman" w:hAnsi="Trebuchet MS" w:cs="Arial"/>
          <w:b/>
          <w:noProof/>
          <w:sz w:val="22"/>
          <w:szCs w:val="22"/>
          <w:lang w:val="en-US" w:eastAsia="ro-RO"/>
        </w:rPr>
      </w:pPr>
      <w:r w:rsidRPr="00E02F05">
        <w:rPr>
          <w:rFonts w:ascii="Trebuchet MS" w:hAnsi="Trebuchet MS" w:cs="Arial"/>
          <w:b/>
          <w:noProof/>
          <w:sz w:val="22"/>
          <w:szCs w:val="22"/>
          <w:lang w:val="en-US"/>
        </w:rPr>
        <w:t>„</w:t>
      </w:r>
      <w:r w:rsidRPr="00E02F05">
        <w:rPr>
          <w:rFonts w:ascii="Trebuchet MS" w:eastAsia="Times New Roman" w:hAnsi="Trebuchet MS" w:cs="Arial"/>
          <w:b/>
          <w:noProof/>
          <w:sz w:val="22"/>
          <w:szCs w:val="22"/>
          <w:lang w:val="en-US" w:eastAsia="ro-RO"/>
        </w:rPr>
        <w:t>Takes note of the conclusion of a Natural Gas Sales Contract between S.N.G.N. ROMGAZ S.A. and Societatea Electrocentrale Bucuresti S.A. in March 2024</w:t>
      </w:r>
      <w:r w:rsidRPr="00E02F05">
        <w:rPr>
          <w:rFonts w:ascii="Trebuchet MS" w:hAnsi="Trebuchet MS" w:cs="Arial"/>
          <w:b/>
          <w:noProof/>
          <w:sz w:val="22"/>
          <w:szCs w:val="22"/>
          <w:lang w:val="en-US"/>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bookmarkStart w:id="0" w:name="_GoBack"/>
      <w:bookmarkEnd w:id="0"/>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19 on the agenda:</w:t>
      </w:r>
    </w:p>
    <w:p w:rsidR="00E25849" w:rsidRPr="00E02F05" w:rsidRDefault="00E25849" w:rsidP="00E25849">
      <w:pPr>
        <w:shd w:val="clear" w:color="auto" w:fill="FFFFFF"/>
        <w:rPr>
          <w:rFonts w:ascii="Trebuchet MS" w:eastAsia="Times New Roman" w:hAnsi="Trebuchet MS" w:cs="Arial"/>
          <w:b/>
          <w:sz w:val="22"/>
          <w:szCs w:val="22"/>
          <w:lang w:val="en-GB" w:eastAsia="ro-RO"/>
        </w:rPr>
      </w:pPr>
      <w:r w:rsidRPr="00E02F05">
        <w:rPr>
          <w:rFonts w:ascii="Trebuchet MS" w:hAnsi="Trebuchet MS" w:cs="Arial"/>
          <w:b/>
          <w:noProof/>
          <w:sz w:val="22"/>
          <w:szCs w:val="22"/>
          <w:lang w:val="en-GB"/>
        </w:rPr>
        <w:t>„</w:t>
      </w:r>
      <w:r w:rsidRPr="00E02F05">
        <w:rPr>
          <w:rFonts w:ascii="Trebuchet MS" w:eastAsia="Times New Roman" w:hAnsi="Trebuchet MS" w:cs="Arial"/>
          <w:b/>
          <w:sz w:val="22"/>
          <w:szCs w:val="22"/>
          <w:lang w:val="en-GB" w:eastAsia="ro-RO"/>
        </w:rPr>
        <w:t>Takes note of the Report on certain transactions concluded between S.N.G.N. ROMGAZ S.A. and other public companies during February 2024</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20 on the agenda:</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5, 2024 as the Record Date, that is the date to determine the shareholders eligible to receive dividends or other rights and who are affected by the Resolutions of the Ordinary General Meeting of Shareholders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pacing w:before="240"/>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21 on the agenda:</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Establishes July 4, 2024 as Ex-Date representing the date falling one settlement cycle minus one business day before the Record Date, as of which the financial instruments provided under the corporate bodies’ resolutions are traded without the rights resulting from such resolution</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E25849" w:rsidRPr="00E02F05" w:rsidRDefault="00E25849" w:rsidP="00E25849">
      <w:pPr>
        <w:spacing w:before="240"/>
        <w:jc w:val="both"/>
        <w:rPr>
          <w:rFonts w:ascii="Trebuchet MS" w:eastAsia="Times New Roman" w:hAnsi="Trebuchet MS" w:cs="Arial"/>
          <w:i/>
          <w:noProof/>
          <w:sz w:val="22"/>
          <w:szCs w:val="22"/>
          <w:lang w:val="en-GB" w:eastAsia="ro-RO"/>
        </w:rPr>
      </w:pPr>
    </w:p>
    <w:p w:rsidR="00E25849" w:rsidRPr="00E02F05" w:rsidRDefault="00E25849" w:rsidP="00E25849">
      <w:pPr>
        <w:shd w:val="clear" w:color="auto" w:fill="FFFFFF"/>
        <w:jc w:val="both"/>
        <w:rPr>
          <w:rFonts w:ascii="Trebuchet MS" w:hAnsi="Trebuchet MS" w:cs="Arial"/>
          <w:noProof/>
          <w:sz w:val="22"/>
          <w:szCs w:val="22"/>
          <w:lang w:val="en-GB"/>
        </w:rPr>
      </w:pPr>
      <w:r w:rsidRPr="00E02F05">
        <w:rPr>
          <w:rFonts w:ascii="Trebuchet MS" w:hAnsi="Trebuchet MS" w:cs="Arial"/>
          <w:noProof/>
          <w:sz w:val="22"/>
          <w:szCs w:val="22"/>
          <w:lang w:val="en-GB"/>
        </w:rPr>
        <w:t>The draft resolution for item 22 on the agenda:</w:t>
      </w:r>
    </w:p>
    <w:p w:rsidR="00E25849" w:rsidRPr="00E02F05" w:rsidRDefault="00E25849" w:rsidP="00E25849">
      <w:pPr>
        <w:ind w:right="22"/>
        <w:jc w:val="both"/>
        <w:rPr>
          <w:rFonts w:ascii="Trebuchet MS" w:hAnsi="Trebuchet MS" w:cs="Arial"/>
          <w:b/>
          <w:noProof/>
          <w:sz w:val="22"/>
          <w:szCs w:val="22"/>
          <w:lang w:val="en-GB"/>
        </w:rPr>
      </w:pPr>
      <w:r w:rsidRPr="00E02F05">
        <w:rPr>
          <w:rFonts w:ascii="Trebuchet MS" w:hAnsi="Trebuchet MS" w:cs="Arial"/>
          <w:b/>
          <w:noProof/>
          <w:sz w:val="22"/>
          <w:szCs w:val="22"/>
          <w:lang w:val="en-GB"/>
        </w:rPr>
        <w:t>„</w:t>
      </w:r>
      <w:r w:rsidRPr="00E02F05">
        <w:rPr>
          <w:rFonts w:ascii="Trebuchet MS" w:hAnsi="Trebuchet MS" w:cs="Arial"/>
          <w:b/>
          <w:iCs/>
          <w:sz w:val="22"/>
          <w:szCs w:val="22"/>
          <w:lang w:val="en-GB"/>
        </w:rPr>
        <w:t>Authorises the Chairman and the Secretary of the meeting to sign the resolution of the Ordinary General Meeting of Shareholders</w:t>
      </w:r>
      <w:r w:rsidRPr="00E02F05">
        <w:rPr>
          <w:rFonts w:ascii="Trebuchet MS" w:hAnsi="Trebuchet MS" w:cs="Arial"/>
          <w:b/>
          <w:noProof/>
          <w:sz w:val="22"/>
          <w:szCs w:val="22"/>
          <w:lang w:val="en-GB"/>
        </w:rPr>
        <w:t>”.</w:t>
      </w:r>
    </w:p>
    <w:p w:rsidR="00E25849" w:rsidRPr="00E02F05" w:rsidRDefault="00E25849" w:rsidP="00E25849">
      <w:pPr>
        <w:ind w:right="9"/>
        <w:jc w:val="both"/>
        <w:rPr>
          <w:rFonts w:ascii="Trebuchet MS" w:hAnsi="Trebuchet MS" w:cs="Arial"/>
          <w:b/>
          <w:sz w:val="22"/>
          <w:szCs w:val="22"/>
          <w:lang w:val="en-GB"/>
        </w:rPr>
      </w:pPr>
    </w:p>
    <w:p w:rsidR="00E25849" w:rsidRPr="00E02F05" w:rsidRDefault="00E25849" w:rsidP="00E25849">
      <w:pPr>
        <w:suppressAutoHyphens w:val="0"/>
        <w:jc w:val="both"/>
        <w:rPr>
          <w:rFonts w:ascii="Trebuchet MS" w:hAnsi="Trebuchet MS" w:cs="Arial"/>
          <w:noProof/>
          <w:sz w:val="22"/>
          <w:szCs w:val="22"/>
          <w:lang w:val="en-GB"/>
        </w:rPr>
      </w:pPr>
      <w:r w:rsidRPr="00E02F05">
        <w:rPr>
          <w:rFonts w:ascii="Trebuchet MS" w:hAnsi="Trebuchet MS" w:cs="Arial"/>
          <w:noProof/>
          <w:sz w:val="22"/>
          <w:szCs w:val="22"/>
          <w:lang w:val="en-GB"/>
        </w:rPr>
        <w:t>For __________ Against_________ Abstain_________</w:t>
      </w:r>
    </w:p>
    <w:p w:rsidR="00110746" w:rsidRDefault="00110746" w:rsidP="00110746">
      <w:pPr>
        <w:spacing w:before="240"/>
        <w:rPr>
          <w:rFonts w:ascii="Trebuchet MS" w:hAnsi="Trebuchet MS" w:cs="Arial"/>
          <w:noProof/>
          <w:sz w:val="22"/>
          <w:szCs w:val="22"/>
          <w:lang w:val="en-GB"/>
        </w:rPr>
      </w:pPr>
    </w:p>
    <w:p w:rsidR="00110746" w:rsidRPr="001D116A" w:rsidRDefault="00110746" w:rsidP="00110746">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110746" w:rsidRPr="001D116A" w:rsidRDefault="00110746" w:rsidP="00110746">
      <w:pPr>
        <w:jc w:val="both"/>
        <w:rPr>
          <w:rFonts w:ascii="Trebuchet MS" w:hAnsi="Trebuchet MS" w:cs="Arial"/>
          <w:noProof/>
          <w:sz w:val="22"/>
          <w:szCs w:val="22"/>
          <w:lang w:val="en-GB" w:eastAsia="ro-RO"/>
        </w:rPr>
      </w:pPr>
    </w:p>
    <w:p w:rsidR="00110746" w:rsidRPr="001D116A" w:rsidRDefault="00110746" w:rsidP="0011074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110746" w:rsidRPr="001D116A" w:rsidRDefault="00110746" w:rsidP="0011074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 xml:space="preserve">is also valid for the second convening of the same OGMS on </w:t>
      </w:r>
      <w:r>
        <w:rPr>
          <w:rFonts w:ascii="Trebuchet MS" w:hAnsi="Trebuchet MS" w:cs="Arial"/>
          <w:b/>
          <w:noProof/>
          <w:sz w:val="22"/>
          <w:szCs w:val="22"/>
          <w:lang w:val="en-GB"/>
        </w:rPr>
        <w:t>April 26,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25,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110746" w:rsidRPr="001D116A" w:rsidRDefault="00110746" w:rsidP="00110746">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23, 2024</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110746" w:rsidRPr="006D0330" w:rsidRDefault="00110746" w:rsidP="0011074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110746" w:rsidRPr="001D116A" w:rsidRDefault="00110746" w:rsidP="0011074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110746" w:rsidRPr="001D116A" w:rsidRDefault="00110746" w:rsidP="0011074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72" w:rsidRDefault="00150772">
      <w:r>
        <w:separator/>
      </w:r>
    </w:p>
  </w:endnote>
  <w:endnote w:type="continuationSeparator" w:id="0">
    <w:p w:rsidR="00150772" w:rsidRDefault="0015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B73">
      <w:rPr>
        <w:rStyle w:val="PageNumber"/>
        <w:noProof/>
      </w:rPr>
      <w:t>7</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72" w:rsidRDefault="00150772">
      <w:r>
        <w:separator/>
      </w:r>
    </w:p>
  </w:footnote>
  <w:footnote w:type="continuationSeparator" w:id="0">
    <w:p w:rsidR="00150772" w:rsidRDefault="00150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2AE12AB"/>
    <w:multiLevelType w:val="hybridMultilevel"/>
    <w:tmpl w:val="D0FE2A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D0622"/>
    <w:multiLevelType w:val="hybridMultilevel"/>
    <w:tmpl w:val="DF0A42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22E90"/>
    <w:rsid w:val="0005755D"/>
    <w:rsid w:val="00097CE1"/>
    <w:rsid w:val="000A2C47"/>
    <w:rsid w:val="000D213A"/>
    <w:rsid w:val="000D37CD"/>
    <w:rsid w:val="000D65ED"/>
    <w:rsid w:val="000D6DB8"/>
    <w:rsid w:val="000F50AE"/>
    <w:rsid w:val="00110746"/>
    <w:rsid w:val="00127702"/>
    <w:rsid w:val="00135091"/>
    <w:rsid w:val="00150772"/>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C5B7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589"/>
    <w:rsid w:val="006E3E94"/>
    <w:rsid w:val="006E556C"/>
    <w:rsid w:val="006F5CEB"/>
    <w:rsid w:val="00735C64"/>
    <w:rsid w:val="00736FFD"/>
    <w:rsid w:val="007478A0"/>
    <w:rsid w:val="007502F7"/>
    <w:rsid w:val="007537BC"/>
    <w:rsid w:val="0075592A"/>
    <w:rsid w:val="0076430E"/>
    <w:rsid w:val="007650B0"/>
    <w:rsid w:val="00767533"/>
    <w:rsid w:val="00770F0D"/>
    <w:rsid w:val="00780456"/>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D202A"/>
    <w:rsid w:val="00DD75C8"/>
    <w:rsid w:val="00E25849"/>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B67"/>
    <w:rsid w:val="00FB2CA1"/>
    <w:rsid w:val="00FC4DA2"/>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8450-FB4C-47D6-BDA8-1C1EC215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172</cp:revision>
  <dcterms:created xsi:type="dcterms:W3CDTF">2018-08-15T19:27:00Z</dcterms:created>
  <dcterms:modified xsi:type="dcterms:W3CDTF">2024-03-25T12:39:00Z</dcterms:modified>
</cp:coreProperties>
</file>