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B" w:rsidRPr="00493C38" w:rsidRDefault="000A00FB" w:rsidP="000A00FB">
      <w:pPr>
        <w:autoSpaceDE w:val="0"/>
        <w:autoSpaceDN w:val="0"/>
        <w:adjustRightInd w:val="0"/>
        <w:jc w:val="center"/>
        <w:rPr>
          <w:rFonts w:ascii="Arial" w:hAnsi="Arial" w:cs="Arial"/>
          <w:b/>
          <w:noProof/>
          <w:sz w:val="22"/>
          <w:szCs w:val="22"/>
        </w:rPr>
      </w:pPr>
    </w:p>
    <w:p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for the O</w:t>
      </w:r>
      <w:r w:rsidR="00E558E0" w:rsidRPr="001D116A">
        <w:rPr>
          <w:rFonts w:ascii="Trebuchet MS" w:hAnsi="Trebuchet MS" w:cs="Arial"/>
          <w:noProof/>
          <w:sz w:val="22"/>
          <w:szCs w:val="22"/>
          <w:lang w:val="en-GB"/>
        </w:rPr>
        <w:t>rdinary General Meeting of Shareholders of</w:t>
      </w:r>
    </w:p>
    <w:p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CF264B">
        <w:rPr>
          <w:rFonts w:ascii="Trebuchet MS" w:hAnsi="Trebuchet MS" w:cs="Arial"/>
          <w:b/>
          <w:noProof/>
          <w:sz w:val="22"/>
          <w:szCs w:val="22"/>
          <w:lang w:val="en-GB"/>
        </w:rPr>
        <w:t>April 25</w:t>
      </w:r>
      <w:r w:rsidR="009A23FA" w:rsidRPr="001D116A">
        <w:rPr>
          <w:rFonts w:ascii="Trebuchet MS" w:hAnsi="Trebuchet MS" w:cs="Arial"/>
          <w:b/>
          <w:noProof/>
          <w:sz w:val="22"/>
          <w:szCs w:val="22"/>
          <w:lang w:val="en-GB"/>
        </w:rPr>
        <w:t>/</w:t>
      </w:r>
      <w:r w:rsidR="00CF264B">
        <w:rPr>
          <w:rFonts w:ascii="Trebuchet MS" w:hAnsi="Trebuchet MS" w:cs="Arial"/>
          <w:b/>
          <w:noProof/>
          <w:sz w:val="22"/>
          <w:szCs w:val="22"/>
          <w:lang w:val="en-GB"/>
        </w:rPr>
        <w:t>26</w:t>
      </w:r>
      <w:r w:rsidR="00756AA8" w:rsidRPr="001D116A">
        <w:rPr>
          <w:rFonts w:ascii="Trebuchet MS" w:hAnsi="Trebuchet MS" w:cs="Arial"/>
          <w:b/>
          <w:noProof/>
          <w:sz w:val="22"/>
          <w:szCs w:val="22"/>
          <w:lang w:val="en-GB"/>
        </w:rPr>
        <w:t xml:space="preserve">, </w:t>
      </w:r>
      <w:r w:rsidR="00F66253">
        <w:rPr>
          <w:rFonts w:ascii="Trebuchet MS" w:hAnsi="Trebuchet MS" w:cs="Arial"/>
          <w:b/>
          <w:noProof/>
          <w:sz w:val="22"/>
          <w:szCs w:val="22"/>
          <w:lang w:val="en-GB"/>
        </w:rPr>
        <w:t>2024</w:t>
      </w:r>
    </w:p>
    <w:p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CF264B">
        <w:rPr>
          <w:rFonts w:ascii="Trebuchet MS" w:hAnsi="Trebuchet MS" w:cs="Arial"/>
          <w:b/>
          <w:noProof/>
          <w:sz w:val="22"/>
          <w:szCs w:val="22"/>
          <w:lang w:val="en-GB"/>
        </w:rPr>
        <w:t>April 15</w:t>
      </w:r>
      <w:r w:rsidR="00A906C1">
        <w:rPr>
          <w:rFonts w:ascii="Trebuchet MS" w:hAnsi="Trebuchet MS" w:cs="Arial"/>
          <w:b/>
          <w:noProof/>
          <w:sz w:val="22"/>
          <w:szCs w:val="22"/>
          <w:lang w:val="en-GB"/>
        </w:rPr>
        <w:t>, 2024</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4B5DBF">
        <w:rPr>
          <w:rFonts w:ascii="Trebuchet MS" w:hAnsi="Trebuchet MS" w:cs="Arial"/>
          <w:noProof/>
          <w:sz w:val="22"/>
          <w:szCs w:val="22"/>
          <w:lang w:val="en-GB"/>
        </w:rPr>
        <w:t>,85</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,22</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w:t>
      </w:r>
      <w:r w:rsidRPr="001D116A">
        <w:rPr>
          <w:rFonts w:ascii="Trebuchet MS" w:hAnsi="Trebuchet MS" w:cs="Arial"/>
          <w:noProof/>
          <w:sz w:val="22"/>
          <w:szCs w:val="22"/>
          <w:lang w:val="en-GB"/>
        </w:rPr>
        <w:t>00</w:t>
      </w:r>
      <w:r w:rsidR="004B5DBF">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00A906C1">
        <w:rPr>
          <w:rFonts w:ascii="Trebuchet MS" w:hAnsi="Trebuchet MS" w:cs="Arial"/>
          <w:noProof/>
          <w:sz w:val="22"/>
          <w:szCs w:val="22"/>
          <w:lang w:val="en-GB"/>
        </w:rPr>
        <w:t xml:space="preserve">% of the total 385,422,400 </w:t>
      </w:r>
      <w:r w:rsidRPr="001D116A">
        <w:rPr>
          <w:rFonts w:ascii="Trebuchet MS" w:hAnsi="Trebuchet MS" w:cs="Arial"/>
          <w:noProof/>
          <w:sz w:val="22"/>
          <w:szCs w:val="22"/>
          <w:lang w:val="en-GB"/>
        </w:rPr>
        <w:t>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______voting rights in the O</w:t>
      </w:r>
      <w:r w:rsidRPr="001D116A">
        <w:rPr>
          <w:rFonts w:ascii="Trebuchet MS" w:hAnsi="Trebuchet MS" w:cs="Arial"/>
          <w:noProof/>
          <w:sz w:val="22"/>
          <w:szCs w:val="22"/>
          <w:lang w:val="en-GB"/>
        </w:rPr>
        <w:t>rdinary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of the total 385,422,400 voting rights,</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rsidR="00A2229B" w:rsidRPr="001D116A" w:rsidRDefault="00A2229B" w:rsidP="00E90123">
      <w:pPr>
        <w:shd w:val="clear" w:color="auto" w:fill="FFFFFF"/>
        <w:jc w:val="both"/>
        <w:rPr>
          <w:rFonts w:ascii="Trebuchet MS" w:hAnsi="Trebuchet MS" w:cs="Arial"/>
          <w:noProof/>
          <w:sz w:val="22"/>
          <w:szCs w:val="22"/>
          <w:lang w:val="en-GB"/>
        </w:rPr>
      </w:pPr>
    </w:p>
    <w:p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CF264B">
        <w:rPr>
          <w:rFonts w:ascii="Trebuchet MS" w:hAnsi="Trebuchet MS" w:cs="Arial"/>
          <w:b/>
          <w:noProof/>
          <w:sz w:val="22"/>
          <w:szCs w:val="22"/>
          <w:lang w:val="en-GB"/>
        </w:rPr>
        <w:t>April 25</w:t>
      </w:r>
      <w:r w:rsidR="00A906C1">
        <w:rPr>
          <w:rFonts w:ascii="Trebuchet MS" w:hAnsi="Trebuchet MS" w:cs="Arial"/>
          <w:b/>
          <w:noProof/>
          <w:sz w:val="22"/>
          <w:szCs w:val="22"/>
          <w:lang w:val="en-GB"/>
        </w:rPr>
        <w:t>,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OGMS of S.N.G.N. “ROMGAZ” - S.A is not held at the date of the first convening, at the date of the second convening of the OGMS of S.N.G.N. „ROMGAZ” - S.A., i.e. </w:t>
      </w:r>
      <w:r w:rsidR="00CF264B">
        <w:rPr>
          <w:rFonts w:ascii="Trebuchet MS" w:hAnsi="Trebuchet MS" w:cs="Arial"/>
          <w:b/>
          <w:noProof/>
          <w:sz w:val="22"/>
          <w:szCs w:val="22"/>
          <w:lang w:val="en-GB"/>
        </w:rPr>
        <w:t>April 26</w:t>
      </w:r>
      <w:r w:rsidR="004B5DBF">
        <w:rPr>
          <w:rFonts w:ascii="Trebuchet MS" w:hAnsi="Trebuchet MS" w:cs="Arial"/>
          <w:b/>
          <w:noProof/>
          <w:sz w:val="22"/>
          <w:szCs w:val="22"/>
          <w:lang w:val="en-GB"/>
        </w:rPr>
        <w:t>,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CF264B">
        <w:rPr>
          <w:rFonts w:ascii="Trebuchet MS" w:hAnsi="Trebuchet MS" w:cs="Arial"/>
          <w:b/>
          <w:noProof/>
          <w:sz w:val="22"/>
          <w:szCs w:val="22"/>
          <w:lang w:val="en-GB"/>
        </w:rPr>
        <w:t>April 15</w:t>
      </w:r>
      <w:r w:rsidR="00A906C1">
        <w:rPr>
          <w:rFonts w:ascii="Trebuchet MS" w:hAnsi="Trebuchet MS" w:cs="Arial"/>
          <w:b/>
          <w:noProof/>
          <w:sz w:val="22"/>
          <w:szCs w:val="22"/>
          <w:lang w:val="en-GB"/>
        </w:rPr>
        <w:t>, 2024</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462DAC" w:rsidRPr="001D116A" w:rsidRDefault="00462DAC" w:rsidP="00493C38">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lastRenderedPageBreak/>
        <w:t xml:space="preserve">The draft resolution for item 1 on the agenda: </w:t>
      </w:r>
    </w:p>
    <w:p w:rsidR="00E02F05" w:rsidRPr="00E02F05" w:rsidRDefault="00E02F05" w:rsidP="00E02F05">
      <w:pPr>
        <w:jc w:val="both"/>
        <w:rPr>
          <w:rFonts w:ascii="Trebuchet MS" w:hAnsi="Trebuchet MS" w:cs="Arial"/>
          <w:b/>
          <w:iCs/>
          <w:sz w:val="22"/>
          <w:szCs w:val="22"/>
          <w:lang w:val="en-GB"/>
        </w:rPr>
      </w:pPr>
      <w:r w:rsidRPr="00E02F05">
        <w:rPr>
          <w:rFonts w:ascii="Trebuchet MS" w:hAnsi="Trebuchet MS" w:cs="Arial"/>
          <w:b/>
          <w:noProof/>
          <w:sz w:val="22"/>
          <w:szCs w:val="22"/>
          <w:lang w:val="en-GB"/>
        </w:rPr>
        <w:t>„Takes note of the Consolidated Board of Directors’ Report on the activity performed in 2023”.</w:t>
      </w:r>
    </w:p>
    <w:p w:rsidR="00E02F05" w:rsidRPr="00E02F05" w:rsidRDefault="00E02F05" w:rsidP="00E02F05">
      <w:pPr>
        <w:suppressAutoHyphens w:val="0"/>
        <w:jc w:val="both"/>
        <w:rPr>
          <w:rFonts w:ascii="Trebuchet MS" w:hAnsi="Trebuchet MS" w:cs="Arial"/>
          <w:noProof/>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hd w:val="clear" w:color="auto" w:fill="FFFFFF"/>
        <w:jc w:val="both"/>
        <w:rPr>
          <w:rFonts w:ascii="Trebuchet MS" w:hAnsi="Trebuchet MS" w:cs="Arial"/>
          <w:b/>
          <w:bCs/>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 xml:space="preserve">The draft resolution for item 2 on the agenda: </w:t>
      </w:r>
    </w:p>
    <w:p w:rsidR="00E02F05" w:rsidRPr="00E02F05" w:rsidRDefault="00E02F05" w:rsidP="00E02F05">
      <w:pPr>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eastAsia="Times New Roman" w:hAnsi="Trebuchet MS" w:cs="Arial"/>
          <w:b/>
          <w:sz w:val="22"/>
          <w:szCs w:val="22"/>
          <w:lang w:val="en-GB"/>
        </w:rPr>
        <w:t>Takes note of the Report of the Independent Auditor Ernst &amp; Young Assurance Services</w:t>
      </w:r>
      <w:r w:rsidR="00945A2A">
        <w:rPr>
          <w:rFonts w:ascii="Trebuchet MS" w:eastAsia="Times New Roman" w:hAnsi="Trebuchet MS" w:cs="Arial"/>
          <w:b/>
          <w:sz w:val="22"/>
          <w:szCs w:val="22"/>
          <w:lang w:val="en-GB"/>
        </w:rPr>
        <w:t xml:space="preserve"> S.R.L. on the Separate</w:t>
      </w:r>
      <w:r w:rsidRPr="00E02F05">
        <w:rPr>
          <w:rFonts w:ascii="Trebuchet MS" w:eastAsia="Times New Roman" w:hAnsi="Trebuchet MS" w:cs="Arial"/>
          <w:b/>
          <w:sz w:val="22"/>
          <w:szCs w:val="22"/>
          <w:lang w:val="en-GB"/>
        </w:rPr>
        <w:t xml:space="preserve"> Financial Statements of S.N.G.N. ROMGAZ S.A. for the year ended on December 31, 2023</w:t>
      </w:r>
      <w:r w:rsidRPr="00E02F05">
        <w:rPr>
          <w:rFonts w:ascii="Trebuchet MS" w:hAnsi="Trebuchet MS" w:cs="Arial"/>
          <w:b/>
          <w:noProof/>
          <w:sz w:val="22"/>
          <w:szCs w:val="22"/>
          <w:lang w:val="en-GB"/>
        </w:rPr>
        <w:t>”.</w:t>
      </w:r>
    </w:p>
    <w:p w:rsidR="00E02F05" w:rsidRPr="00E02F05" w:rsidRDefault="00E02F05" w:rsidP="00E02F05">
      <w:pPr>
        <w:suppressAutoHyphens w:val="0"/>
        <w:jc w:val="both"/>
        <w:rPr>
          <w:rFonts w:ascii="Trebuchet MS" w:hAnsi="Trebuchet MS" w:cs="Arial"/>
          <w:noProof/>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 xml:space="preserve">The draft resolution for item 3 on the agenda: </w:t>
      </w:r>
    </w:p>
    <w:p w:rsidR="00E02F05" w:rsidRPr="00E02F05" w:rsidRDefault="00E02F05" w:rsidP="00E02F05">
      <w:pPr>
        <w:jc w:val="both"/>
        <w:rPr>
          <w:rFonts w:ascii="Trebuchet MS" w:hAnsi="Trebuchet MS" w:cs="Arial"/>
          <w:b/>
          <w:noProof/>
          <w:sz w:val="22"/>
          <w:szCs w:val="22"/>
          <w:lang w:val="en-US"/>
        </w:rPr>
      </w:pPr>
      <w:r w:rsidRPr="00E02F05">
        <w:rPr>
          <w:rFonts w:ascii="Trebuchet MS" w:hAnsi="Trebuchet MS" w:cs="Arial"/>
          <w:b/>
          <w:noProof/>
          <w:sz w:val="22"/>
          <w:szCs w:val="22"/>
          <w:lang w:val="en-US"/>
        </w:rPr>
        <w:t>„</w:t>
      </w:r>
      <w:r w:rsidRPr="00E02F05">
        <w:rPr>
          <w:rFonts w:ascii="Trebuchet MS" w:eastAsia="Times New Roman" w:hAnsi="Trebuchet MS" w:cs="Arial"/>
          <w:b/>
          <w:noProof/>
          <w:sz w:val="22"/>
          <w:szCs w:val="22"/>
          <w:lang w:val="en-US"/>
        </w:rPr>
        <w:t>Takes note of the Report of the Independent Auditor Ernst &amp; Young Assurance Services S.R.L. on the Consolidated Financial Statements of S.N.G.N. ROMGAZ S.A. Group for the year ended on December 31, 2023</w:t>
      </w:r>
      <w:r w:rsidRPr="00E02F05">
        <w:rPr>
          <w:rFonts w:ascii="Trebuchet MS" w:hAnsi="Trebuchet MS" w:cs="Arial"/>
          <w:b/>
          <w:noProof/>
          <w:sz w:val="22"/>
          <w:szCs w:val="22"/>
          <w:lang w:val="en-US"/>
        </w:rPr>
        <w:t>”.</w:t>
      </w:r>
    </w:p>
    <w:p w:rsidR="00E02F05" w:rsidRPr="00E02F05" w:rsidRDefault="00E02F05" w:rsidP="00E02F05">
      <w:pPr>
        <w:suppressAutoHyphens w:val="0"/>
        <w:jc w:val="both"/>
        <w:rPr>
          <w:rFonts w:ascii="Trebuchet MS" w:hAnsi="Trebuchet MS" w:cs="Arial"/>
          <w:noProof/>
          <w:sz w:val="22"/>
          <w:szCs w:val="22"/>
          <w:lang w:val="en-US"/>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945A2A" w:rsidRDefault="00945A2A" w:rsidP="00E02F05">
      <w:pPr>
        <w:shd w:val="clear" w:color="auto" w:fill="FFFFFF"/>
        <w:jc w:val="both"/>
        <w:rPr>
          <w:rFonts w:ascii="Trebuchet MS" w:hAnsi="Trebuchet MS" w:cs="Arial"/>
          <w:noProof/>
          <w:sz w:val="22"/>
          <w:szCs w:val="22"/>
          <w:lang w:val="en-GB"/>
        </w:rPr>
      </w:pPr>
    </w:p>
    <w:p w:rsidR="00945A2A" w:rsidRDefault="00945A2A"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 xml:space="preserve">The draft resolution for item 4 on the agenda: </w:t>
      </w:r>
    </w:p>
    <w:p w:rsidR="00E02F05" w:rsidRPr="00E02F05" w:rsidRDefault="00E02F05" w:rsidP="00E02F05">
      <w:pPr>
        <w:spacing w:line="276" w:lineRule="auto"/>
        <w:jc w:val="both"/>
        <w:rPr>
          <w:rFonts w:ascii="Trebuchet MS" w:eastAsia="Times New Roman" w:hAnsi="Trebuchet MS" w:cs="Arial"/>
          <w:b/>
          <w:bCs/>
          <w:noProof/>
          <w:color w:val="FF0000"/>
          <w:sz w:val="22"/>
          <w:szCs w:val="22"/>
          <w:lang w:val="en-US"/>
        </w:rPr>
      </w:pPr>
      <w:r w:rsidRPr="00E02F05">
        <w:rPr>
          <w:rFonts w:ascii="Trebuchet MS" w:hAnsi="Trebuchet MS" w:cs="Arial"/>
          <w:b/>
          <w:noProof/>
          <w:sz w:val="22"/>
          <w:szCs w:val="22"/>
          <w:lang w:val="en-US"/>
        </w:rPr>
        <w:t>„</w:t>
      </w:r>
      <w:r w:rsidR="00945A2A">
        <w:rPr>
          <w:rFonts w:ascii="Trebuchet MS" w:eastAsia="Times New Roman" w:hAnsi="Trebuchet MS" w:cs="Arial"/>
          <w:b/>
          <w:noProof/>
          <w:sz w:val="22"/>
          <w:szCs w:val="22"/>
          <w:lang w:val="en-US"/>
        </w:rPr>
        <w:t>Approves the Separate</w:t>
      </w:r>
      <w:r w:rsidRPr="00E02F05">
        <w:rPr>
          <w:rFonts w:ascii="Trebuchet MS" w:eastAsia="Times New Roman" w:hAnsi="Trebuchet MS" w:cs="Arial"/>
          <w:b/>
          <w:noProof/>
          <w:sz w:val="22"/>
          <w:szCs w:val="22"/>
          <w:lang w:val="en-US"/>
        </w:rPr>
        <w:t xml:space="preserve"> Financial Statements of S.N.G.N. ROMGAZ S.A. for the year ended on December 31, 2023 prepared in compliance with the Order of the Ministry for Public Finances no. 2844/2016</w:t>
      </w:r>
      <w:r w:rsidRPr="00E02F05">
        <w:rPr>
          <w:rFonts w:ascii="Trebuchet MS" w:hAnsi="Trebuchet MS" w:cs="Arial"/>
          <w:b/>
          <w:noProof/>
          <w:sz w:val="22"/>
          <w:szCs w:val="22"/>
          <w:lang w:val="en-US"/>
        </w:rPr>
        <w:t>”.</w:t>
      </w:r>
    </w:p>
    <w:p w:rsidR="00E02F05" w:rsidRPr="00E02F05" w:rsidRDefault="00E02F05" w:rsidP="00E02F05">
      <w:pPr>
        <w:suppressAutoHyphens w:val="0"/>
        <w:jc w:val="both"/>
        <w:rPr>
          <w:rFonts w:ascii="Trebuchet MS" w:hAnsi="Trebuchet MS" w:cs="Arial"/>
          <w:noProof/>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 xml:space="preserve">The draft resolution for item 5 on the agenda: </w:t>
      </w:r>
    </w:p>
    <w:p w:rsidR="00E02F05" w:rsidRPr="00E02F05" w:rsidRDefault="00E02F05" w:rsidP="00E02F05">
      <w:pPr>
        <w:jc w:val="both"/>
        <w:rPr>
          <w:rFonts w:ascii="Trebuchet MS" w:hAnsi="Trebuchet MS" w:cs="Arial"/>
          <w:b/>
          <w:iCs/>
          <w:noProof/>
          <w:sz w:val="22"/>
          <w:szCs w:val="22"/>
          <w:lang w:val="en-US"/>
        </w:rPr>
      </w:pPr>
      <w:r w:rsidRPr="00E02F05">
        <w:rPr>
          <w:rFonts w:ascii="Trebuchet MS" w:hAnsi="Trebuchet MS" w:cs="Arial"/>
          <w:b/>
          <w:noProof/>
          <w:sz w:val="22"/>
          <w:szCs w:val="22"/>
          <w:lang w:val="en-US"/>
        </w:rPr>
        <w:t>„</w:t>
      </w:r>
      <w:r w:rsidRPr="00E02F05">
        <w:rPr>
          <w:rFonts w:ascii="Trebuchet MS" w:eastAsia="Times New Roman" w:hAnsi="Trebuchet MS" w:cs="Arial"/>
          <w:b/>
          <w:bCs/>
          <w:noProof/>
          <w:sz w:val="22"/>
          <w:szCs w:val="22"/>
          <w:lang w:val="en-US"/>
        </w:rPr>
        <w:t>Approves the Consolidated Financial Statements of S.N.G.N. ROMGAZ S.A. Group for the year ended on December 31, 2023 prepared in compliance with the Order of the Ministry for Public Finances no. 2844/2016</w:t>
      </w:r>
      <w:r w:rsidRPr="00E02F05">
        <w:rPr>
          <w:rFonts w:ascii="Trebuchet MS" w:hAnsi="Trebuchet MS" w:cs="Arial"/>
          <w:b/>
          <w:noProof/>
          <w:sz w:val="22"/>
          <w:szCs w:val="22"/>
          <w:lang w:val="en-US"/>
        </w:rPr>
        <w:t>”.</w:t>
      </w:r>
    </w:p>
    <w:p w:rsidR="00E02F05" w:rsidRPr="00E02F05" w:rsidRDefault="00E02F05" w:rsidP="00E02F05">
      <w:pPr>
        <w:suppressAutoHyphens w:val="0"/>
        <w:jc w:val="both"/>
        <w:rPr>
          <w:rFonts w:ascii="Trebuchet MS" w:hAnsi="Trebuchet MS" w:cs="Arial"/>
          <w:noProof/>
          <w:sz w:val="22"/>
          <w:szCs w:val="22"/>
          <w:lang w:val="en-US"/>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US"/>
        </w:rPr>
        <w:t>For __________ Against_________</w:t>
      </w:r>
      <w:r w:rsidRPr="00E02F05">
        <w:rPr>
          <w:rFonts w:ascii="Trebuchet MS" w:hAnsi="Trebuchet MS" w:cs="Arial"/>
          <w:noProof/>
          <w:sz w:val="22"/>
          <w:szCs w:val="22"/>
          <w:lang w:val="en-GB"/>
        </w:rPr>
        <w:t xml:space="preserve"> Abstain_________</w:t>
      </w: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 xml:space="preserve">The draft resolution for item 6 on the agenda: </w:t>
      </w:r>
    </w:p>
    <w:p w:rsidR="00E02F05" w:rsidRPr="00E02F05" w:rsidRDefault="00E02F05" w:rsidP="00E02F05">
      <w:pPr>
        <w:shd w:val="clear" w:color="auto" w:fill="FFFFFF"/>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w:t>
      </w:r>
    </w:p>
    <w:p w:rsidR="00E02F05" w:rsidRPr="00E02F05" w:rsidRDefault="00E02F05" w:rsidP="00E02F05">
      <w:pPr>
        <w:shd w:val="clear" w:color="auto" w:fill="FFFFFF"/>
        <w:jc w:val="both"/>
        <w:rPr>
          <w:rFonts w:ascii="Trebuchet MS" w:eastAsia="Times New Roman" w:hAnsi="Trebuchet MS" w:cs="Arial"/>
          <w:b/>
          <w:sz w:val="22"/>
          <w:szCs w:val="22"/>
          <w:lang w:val="en-GB"/>
        </w:rPr>
      </w:pPr>
      <w:r w:rsidRPr="00E02F05">
        <w:rPr>
          <w:rFonts w:ascii="Trebuchet MS" w:eastAsia="Times New Roman" w:hAnsi="Trebuchet MS" w:cs="Arial"/>
          <w:b/>
          <w:sz w:val="22"/>
          <w:szCs w:val="22"/>
          <w:lang w:val="en-GB"/>
        </w:rPr>
        <w:t>Approves the distribution of net profit achieved by S.N.G.N. “ROMGAZ”- S.A. in 2023, as follows:</w:t>
      </w:r>
    </w:p>
    <w:tbl>
      <w:tblPr>
        <w:tblW w:w="9698" w:type="dxa"/>
        <w:tblInd w:w="-10" w:type="dxa"/>
        <w:tblLayout w:type="fixed"/>
        <w:tblLook w:val="04A0" w:firstRow="1" w:lastRow="0" w:firstColumn="1" w:lastColumn="0" w:noHBand="0" w:noVBand="1"/>
      </w:tblPr>
      <w:tblGrid>
        <w:gridCol w:w="630"/>
        <w:gridCol w:w="6684"/>
        <w:gridCol w:w="2384"/>
      </w:tblGrid>
      <w:tr w:rsidR="00E02F05" w:rsidRPr="00E02F05" w:rsidTr="00E52B52">
        <w:trPr>
          <w:trHeight w:val="576"/>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I</w:t>
            </w:r>
          </w:p>
        </w:tc>
        <w:tc>
          <w:tcPr>
            <w:tcW w:w="6684" w:type="dxa"/>
            <w:tcBorders>
              <w:top w:val="single" w:sz="8" w:space="0" w:color="auto"/>
              <w:left w:val="nil"/>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Indicators</w:t>
            </w:r>
          </w:p>
        </w:tc>
        <w:tc>
          <w:tcPr>
            <w:tcW w:w="2384" w:type="dxa"/>
            <w:tcBorders>
              <w:top w:val="single" w:sz="8" w:space="0" w:color="auto"/>
              <w:left w:val="nil"/>
              <w:bottom w:val="single" w:sz="4" w:space="0" w:color="auto"/>
              <w:right w:val="single" w:sz="8"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Year 2023                                                            (RON)</w:t>
            </w:r>
          </w:p>
        </w:tc>
      </w:tr>
      <w:tr w:rsidR="00E02F05" w:rsidRPr="00E02F05" w:rsidTr="00E52B52">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0</w:t>
            </w:r>
          </w:p>
        </w:tc>
        <w:tc>
          <w:tcPr>
            <w:tcW w:w="6684"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color w:val="000000"/>
                <w:sz w:val="22"/>
                <w:szCs w:val="22"/>
                <w:lang w:val="en-US"/>
              </w:rPr>
            </w:pPr>
            <w:r w:rsidRPr="00E02F05">
              <w:rPr>
                <w:rFonts w:ascii="Trebuchet MS" w:eastAsia="Times New Roman" w:hAnsi="Trebuchet MS" w:cs="Arial"/>
                <w:b/>
                <w:bCs/>
                <w:color w:val="000000"/>
                <w:sz w:val="22"/>
                <w:szCs w:val="22"/>
                <w:lang w:val="en-US"/>
              </w:rPr>
              <w:t>1</w:t>
            </w:r>
          </w:p>
        </w:tc>
        <w:tc>
          <w:tcPr>
            <w:tcW w:w="2384" w:type="dxa"/>
            <w:tcBorders>
              <w:top w:val="nil"/>
              <w:left w:val="nil"/>
              <w:bottom w:val="single" w:sz="4" w:space="0" w:color="auto"/>
              <w:right w:val="single" w:sz="8"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color w:val="000000"/>
                <w:sz w:val="22"/>
                <w:szCs w:val="22"/>
                <w:lang w:val="en-US"/>
              </w:rPr>
            </w:pPr>
            <w:r w:rsidRPr="00E02F05">
              <w:rPr>
                <w:rFonts w:ascii="Trebuchet MS" w:eastAsia="Times New Roman" w:hAnsi="Trebuchet MS" w:cs="Arial"/>
                <w:b/>
                <w:bCs/>
                <w:color w:val="000000"/>
                <w:sz w:val="22"/>
                <w:szCs w:val="22"/>
                <w:lang w:val="en-US"/>
              </w:rPr>
              <w:t>2</w:t>
            </w:r>
          </w:p>
        </w:tc>
      </w:tr>
      <w:tr w:rsidR="00E02F05" w:rsidRPr="00E02F05" w:rsidTr="00E52B52">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A</w:t>
            </w:r>
          </w:p>
        </w:tc>
        <w:tc>
          <w:tcPr>
            <w:tcW w:w="6684"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Gross result of the financial year</w:t>
            </w:r>
          </w:p>
        </w:tc>
        <w:tc>
          <w:tcPr>
            <w:tcW w:w="2384" w:type="dxa"/>
            <w:tcBorders>
              <w:top w:val="nil"/>
              <w:left w:val="nil"/>
              <w:bottom w:val="single" w:sz="4" w:space="0" w:color="auto"/>
              <w:right w:val="single" w:sz="8" w:space="0" w:color="auto"/>
            </w:tcBorders>
            <w:shd w:val="clear" w:color="auto" w:fill="auto"/>
            <w:vAlign w:val="center"/>
            <w:hideMark/>
          </w:tcPr>
          <w:p w:rsidR="00E02F05" w:rsidRPr="00E02F05" w:rsidRDefault="00E02F05" w:rsidP="00E02F05">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Calibri"/>
                <w:b/>
                <w:bCs/>
                <w:color w:val="000000"/>
                <w:sz w:val="22"/>
                <w:szCs w:val="22"/>
                <w:lang w:val="en-US"/>
              </w:rPr>
              <w:t>3,322,886,111.85</w:t>
            </w:r>
          </w:p>
        </w:tc>
      </w:tr>
      <w:tr w:rsidR="00E02F05" w:rsidRPr="00E02F05" w:rsidTr="00E52B52">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B</w:t>
            </w:r>
          </w:p>
        </w:tc>
        <w:tc>
          <w:tcPr>
            <w:tcW w:w="6684"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Current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E02F05" w:rsidRPr="00E02F05" w:rsidRDefault="00E02F05" w:rsidP="00E02F05">
            <w:pPr>
              <w:ind w:right="59"/>
              <w:jc w:val="right"/>
              <w:rPr>
                <w:rFonts w:ascii="Trebuchet MS" w:eastAsia="Times New Roman" w:hAnsi="Trebuchet MS" w:cs="Arial"/>
                <w:b/>
                <w:bCs/>
                <w:sz w:val="22"/>
                <w:szCs w:val="22"/>
                <w:lang w:val="en-US"/>
              </w:rPr>
            </w:pPr>
            <w:r w:rsidRPr="00E02F05">
              <w:rPr>
                <w:rFonts w:ascii="Trebuchet MS" w:eastAsia="Times New Roman" w:hAnsi="Trebuchet MS" w:cs="Calibri"/>
                <w:b/>
                <w:bCs/>
                <w:sz w:val="22"/>
                <w:szCs w:val="22"/>
                <w:lang w:val="en-US"/>
              </w:rPr>
              <w:t>668,409,596.00</w:t>
            </w:r>
          </w:p>
        </w:tc>
      </w:tr>
      <w:tr w:rsidR="00E02F05" w:rsidRPr="00E02F05" w:rsidTr="00E52B52">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C</w:t>
            </w:r>
          </w:p>
        </w:tc>
        <w:tc>
          <w:tcPr>
            <w:tcW w:w="6684"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Revenue from 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E02F05" w:rsidRPr="00E02F05" w:rsidRDefault="00E02F05" w:rsidP="00E02F05">
            <w:pPr>
              <w:ind w:right="59"/>
              <w:jc w:val="right"/>
              <w:rPr>
                <w:rFonts w:ascii="Trebuchet MS" w:eastAsia="Times New Roman" w:hAnsi="Trebuchet MS" w:cs="Arial"/>
                <w:b/>
                <w:bCs/>
                <w:sz w:val="22"/>
                <w:szCs w:val="22"/>
                <w:lang w:val="en-US"/>
              </w:rPr>
            </w:pPr>
            <w:r w:rsidRPr="00E02F05">
              <w:rPr>
                <w:rFonts w:ascii="Trebuchet MS" w:eastAsia="Times New Roman" w:hAnsi="Trebuchet MS" w:cs="Calibri"/>
                <w:b/>
                <w:bCs/>
                <w:sz w:val="22"/>
                <w:szCs w:val="22"/>
                <w:lang w:val="en-US"/>
              </w:rPr>
              <w:t>11,225,825.71</w:t>
            </w:r>
          </w:p>
        </w:tc>
      </w:tr>
      <w:tr w:rsidR="00E02F05" w:rsidRPr="00E02F05" w:rsidTr="00E52B52">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C.1</w:t>
            </w:r>
          </w:p>
        </w:tc>
        <w:tc>
          <w:tcPr>
            <w:tcW w:w="6684"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E02F05" w:rsidRPr="00E02F05" w:rsidRDefault="00E02F05" w:rsidP="00E02F05">
            <w:pPr>
              <w:ind w:right="59"/>
              <w:jc w:val="right"/>
              <w:rPr>
                <w:rFonts w:ascii="Trebuchet MS" w:eastAsia="Times New Roman" w:hAnsi="Trebuchet MS" w:cs="Arial"/>
                <w:b/>
                <w:bCs/>
                <w:sz w:val="22"/>
                <w:szCs w:val="22"/>
                <w:lang w:val="en-US"/>
              </w:rPr>
            </w:pPr>
            <w:r w:rsidRPr="00E02F05">
              <w:rPr>
                <w:rFonts w:ascii="Trebuchet MS" w:eastAsia="Times New Roman" w:hAnsi="Trebuchet MS" w:cs="Calibri"/>
                <w:b/>
                <w:bCs/>
                <w:sz w:val="22"/>
                <w:szCs w:val="22"/>
                <w:lang w:val="en-US"/>
              </w:rPr>
              <w:t>16,425,566.34</w:t>
            </w:r>
          </w:p>
        </w:tc>
      </w:tr>
      <w:tr w:rsidR="00E02F05" w:rsidRPr="00E02F05" w:rsidTr="00E52B52">
        <w:trPr>
          <w:trHeight w:val="360"/>
        </w:trPr>
        <w:tc>
          <w:tcPr>
            <w:tcW w:w="63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D</w:t>
            </w:r>
          </w:p>
        </w:tc>
        <w:tc>
          <w:tcPr>
            <w:tcW w:w="6684" w:type="dxa"/>
            <w:tcBorders>
              <w:top w:val="single" w:sz="4" w:space="0" w:color="auto"/>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Net result of the financial year [A-B+C-C.1], (accounting profit after profit tax), including:</w:t>
            </w:r>
          </w:p>
        </w:tc>
        <w:tc>
          <w:tcPr>
            <w:tcW w:w="2384" w:type="dxa"/>
            <w:tcBorders>
              <w:top w:val="single" w:sz="4" w:space="0" w:color="auto"/>
              <w:left w:val="nil"/>
              <w:bottom w:val="single" w:sz="4" w:space="0" w:color="auto"/>
              <w:right w:val="single" w:sz="8" w:space="0" w:color="auto"/>
            </w:tcBorders>
            <w:shd w:val="clear" w:color="auto" w:fill="auto"/>
            <w:noWrap/>
            <w:vAlign w:val="center"/>
            <w:hideMark/>
          </w:tcPr>
          <w:p w:rsidR="00E02F05" w:rsidRPr="00E02F05" w:rsidRDefault="00E02F05" w:rsidP="00E02F05">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Calibri"/>
                <w:b/>
                <w:bCs/>
                <w:color w:val="000000"/>
                <w:sz w:val="22"/>
                <w:szCs w:val="22"/>
                <w:lang w:val="en-US"/>
              </w:rPr>
              <w:t>2,649,276,775.22</w:t>
            </w:r>
          </w:p>
        </w:tc>
      </w:tr>
      <w:tr w:rsidR="00E02F05" w:rsidRPr="00E02F05" w:rsidTr="00E52B52">
        <w:trPr>
          <w:trHeight w:val="437"/>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a</w:t>
            </w:r>
          </w:p>
        </w:tc>
        <w:tc>
          <w:tcPr>
            <w:tcW w:w="6684"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Legal reserves</w:t>
            </w:r>
          </w:p>
        </w:tc>
        <w:tc>
          <w:tcPr>
            <w:tcW w:w="2384" w:type="dxa"/>
            <w:tcBorders>
              <w:top w:val="nil"/>
              <w:left w:val="nil"/>
              <w:bottom w:val="single" w:sz="4" w:space="0" w:color="auto"/>
              <w:right w:val="single" w:sz="8" w:space="0" w:color="auto"/>
            </w:tcBorders>
            <w:shd w:val="clear" w:color="000000" w:fill="FFFFFF"/>
            <w:vAlign w:val="center"/>
            <w:hideMark/>
          </w:tcPr>
          <w:p w:rsidR="00E02F05" w:rsidRPr="00E02F05" w:rsidRDefault="00E02F05" w:rsidP="00E02F05">
            <w:pPr>
              <w:ind w:right="59"/>
              <w:jc w:val="right"/>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0.00</w:t>
            </w:r>
          </w:p>
        </w:tc>
      </w:tr>
      <w:tr w:rsidR="00E02F05" w:rsidRPr="00E02F05" w:rsidTr="00945A2A">
        <w:trPr>
          <w:trHeight w:val="179"/>
        </w:trPr>
        <w:tc>
          <w:tcPr>
            <w:tcW w:w="63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lastRenderedPageBreak/>
              <w:t>b</w:t>
            </w:r>
          </w:p>
        </w:tc>
        <w:tc>
          <w:tcPr>
            <w:tcW w:w="6684" w:type="dxa"/>
            <w:tcBorders>
              <w:top w:val="single" w:sz="4" w:space="0" w:color="auto"/>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Other reserves representing fiscal facilities provided by law (Law no. 227/2015 - Article 22)</w:t>
            </w:r>
          </w:p>
        </w:tc>
        <w:tc>
          <w:tcPr>
            <w:tcW w:w="2384" w:type="dxa"/>
            <w:tcBorders>
              <w:top w:val="single" w:sz="4" w:space="0" w:color="auto"/>
              <w:left w:val="nil"/>
              <w:bottom w:val="single" w:sz="4" w:space="0" w:color="auto"/>
              <w:right w:val="single" w:sz="8" w:space="0" w:color="auto"/>
            </w:tcBorders>
            <w:shd w:val="clear" w:color="000000" w:fill="FFFFFF"/>
            <w:noWrap/>
            <w:vAlign w:val="center"/>
            <w:hideMark/>
          </w:tcPr>
          <w:p w:rsidR="00E02F05" w:rsidRPr="00E02F05" w:rsidRDefault="00E02F05" w:rsidP="00E02F05">
            <w:pPr>
              <w:ind w:right="59"/>
              <w:jc w:val="right"/>
              <w:rPr>
                <w:rFonts w:ascii="Trebuchet MS" w:eastAsia="Times New Roman" w:hAnsi="Trebuchet MS" w:cs="Arial"/>
                <w:b/>
                <w:bCs/>
                <w:sz w:val="22"/>
                <w:szCs w:val="22"/>
                <w:lang w:val="en-US"/>
              </w:rPr>
            </w:pPr>
            <w:r w:rsidRPr="00E02F05">
              <w:rPr>
                <w:rFonts w:ascii="Trebuchet MS" w:eastAsia="Times New Roman" w:hAnsi="Trebuchet MS" w:cs="Calibri"/>
                <w:b/>
                <w:bCs/>
                <w:sz w:val="22"/>
                <w:szCs w:val="22"/>
                <w:lang w:val="en-US"/>
              </w:rPr>
              <w:t>73,583,376.00</w:t>
            </w:r>
          </w:p>
        </w:tc>
      </w:tr>
      <w:tr w:rsidR="00E02F05" w:rsidRPr="00E02F05" w:rsidTr="00E02F05">
        <w:trPr>
          <w:trHeight w:val="481"/>
        </w:trPr>
        <w:tc>
          <w:tcPr>
            <w:tcW w:w="63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c</w:t>
            </w:r>
          </w:p>
        </w:tc>
        <w:tc>
          <w:tcPr>
            <w:tcW w:w="6684" w:type="dxa"/>
            <w:tcBorders>
              <w:top w:val="single" w:sz="4" w:space="0" w:color="auto"/>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Coverage of losses in retained earnings (in accordance with Article 1, paragraph (1), c) of GO no. 64/2001)</w:t>
            </w:r>
          </w:p>
        </w:tc>
        <w:tc>
          <w:tcPr>
            <w:tcW w:w="2384" w:type="dxa"/>
            <w:tcBorders>
              <w:top w:val="single" w:sz="4" w:space="0" w:color="auto"/>
              <w:left w:val="nil"/>
              <w:bottom w:val="single" w:sz="4" w:space="0" w:color="auto"/>
              <w:right w:val="single" w:sz="8" w:space="0" w:color="auto"/>
            </w:tcBorders>
            <w:shd w:val="clear" w:color="auto" w:fill="auto"/>
            <w:noWrap/>
            <w:vAlign w:val="center"/>
            <w:hideMark/>
          </w:tcPr>
          <w:p w:rsidR="00E02F05" w:rsidRPr="00E02F05" w:rsidRDefault="00E02F05" w:rsidP="00E02F05">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0.00</w:t>
            </w:r>
            <w:r w:rsidRPr="00E02F05">
              <w:rPr>
                <w:rFonts w:ascii="Trebuchet MS" w:eastAsia="Times New Roman" w:hAnsi="Trebuchet MS" w:cs="Arial"/>
                <w:b/>
                <w:bCs/>
                <w:color w:val="000000"/>
                <w:sz w:val="22"/>
                <w:szCs w:val="22"/>
                <w:lang w:val="en-US"/>
              </w:rPr>
              <w:t> </w:t>
            </w:r>
          </w:p>
        </w:tc>
      </w:tr>
      <w:tr w:rsidR="00E02F05" w:rsidRPr="00E02F05" w:rsidTr="00E52B52">
        <w:trPr>
          <w:trHeight w:val="248"/>
        </w:trPr>
        <w:tc>
          <w:tcPr>
            <w:tcW w:w="63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c1</w:t>
            </w:r>
          </w:p>
        </w:tc>
        <w:tc>
          <w:tcPr>
            <w:tcW w:w="6684" w:type="dxa"/>
            <w:tcBorders>
              <w:top w:val="single" w:sz="4" w:space="0" w:color="auto"/>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Establishing own financing sources for co-financed projects from external loans (in accordance with Article 1, paragraph (1), c^1 of GO no. 64/2001)</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E02F05" w:rsidRPr="00E02F05" w:rsidRDefault="00E02F05" w:rsidP="00E02F05">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0.00</w:t>
            </w:r>
            <w:r w:rsidRPr="00E02F05">
              <w:rPr>
                <w:rFonts w:ascii="Trebuchet MS" w:eastAsia="Times New Roman" w:hAnsi="Trebuchet MS" w:cs="Arial"/>
                <w:b/>
                <w:bCs/>
                <w:color w:val="000000"/>
                <w:sz w:val="22"/>
                <w:szCs w:val="22"/>
                <w:lang w:val="en-US"/>
              </w:rPr>
              <w:t> </w:t>
            </w:r>
          </w:p>
        </w:tc>
      </w:tr>
      <w:tr w:rsidR="00E02F05" w:rsidRPr="00E02F05" w:rsidTr="00E52B52">
        <w:trPr>
          <w:trHeight w:val="422"/>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d</w:t>
            </w:r>
          </w:p>
        </w:tc>
        <w:tc>
          <w:tcPr>
            <w:tcW w:w="6684"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Other distributions as provided by special laws</w:t>
            </w:r>
          </w:p>
        </w:tc>
        <w:tc>
          <w:tcPr>
            <w:tcW w:w="2384" w:type="dxa"/>
            <w:tcBorders>
              <w:top w:val="nil"/>
              <w:left w:val="nil"/>
              <w:bottom w:val="single" w:sz="4" w:space="0" w:color="auto"/>
              <w:right w:val="single" w:sz="8" w:space="0" w:color="auto"/>
            </w:tcBorders>
            <w:shd w:val="clear" w:color="auto" w:fill="auto"/>
            <w:vAlign w:val="center"/>
            <w:hideMark/>
          </w:tcPr>
          <w:p w:rsidR="00E02F05" w:rsidRPr="00E02F05" w:rsidRDefault="00E02F05" w:rsidP="00E02F05">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0.00</w:t>
            </w:r>
            <w:r w:rsidRPr="00E02F05">
              <w:rPr>
                <w:rFonts w:ascii="Trebuchet MS" w:eastAsia="Times New Roman" w:hAnsi="Trebuchet MS" w:cs="Arial"/>
                <w:b/>
                <w:bCs/>
                <w:color w:val="000000"/>
                <w:sz w:val="22"/>
                <w:szCs w:val="22"/>
                <w:lang w:val="en-US"/>
              </w:rPr>
              <w:t> </w:t>
            </w:r>
          </w:p>
        </w:tc>
      </w:tr>
      <w:tr w:rsidR="00E02F05" w:rsidRPr="00E02F05" w:rsidTr="00E52B52">
        <w:trPr>
          <w:trHeight w:val="238"/>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 xml:space="preserve">E </w:t>
            </w:r>
          </w:p>
        </w:tc>
        <w:tc>
          <w:tcPr>
            <w:tcW w:w="6684"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Remaining net profit to be distributed (D-a-b-c-c1-d)</w:t>
            </w:r>
          </w:p>
        </w:tc>
        <w:tc>
          <w:tcPr>
            <w:tcW w:w="2384" w:type="dxa"/>
            <w:tcBorders>
              <w:top w:val="nil"/>
              <w:left w:val="nil"/>
              <w:bottom w:val="single" w:sz="4" w:space="0" w:color="auto"/>
              <w:right w:val="single" w:sz="8" w:space="0" w:color="auto"/>
            </w:tcBorders>
            <w:shd w:val="clear" w:color="auto" w:fill="auto"/>
            <w:vAlign w:val="center"/>
            <w:hideMark/>
          </w:tcPr>
          <w:p w:rsidR="00E02F05" w:rsidRPr="00E02F05" w:rsidRDefault="00E02F05" w:rsidP="00E02F05">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Calibri"/>
                <w:b/>
                <w:bCs/>
                <w:color w:val="000000"/>
                <w:sz w:val="22"/>
                <w:szCs w:val="22"/>
                <w:lang w:val="en-US"/>
              </w:rPr>
              <w:t>2,575,693,399.22</w:t>
            </w:r>
          </w:p>
        </w:tc>
      </w:tr>
      <w:tr w:rsidR="00E02F05" w:rsidRPr="00E02F05" w:rsidTr="00E52B52">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e</w:t>
            </w:r>
          </w:p>
        </w:tc>
        <w:tc>
          <w:tcPr>
            <w:tcW w:w="6684"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Employees’ participation to profit (in accordance with Article 1, paragraph (1), e) of GO no. 64/2001)</w:t>
            </w:r>
          </w:p>
        </w:tc>
        <w:tc>
          <w:tcPr>
            <w:tcW w:w="2384" w:type="dxa"/>
            <w:tcBorders>
              <w:top w:val="nil"/>
              <w:left w:val="nil"/>
              <w:bottom w:val="single" w:sz="4" w:space="0" w:color="auto"/>
              <w:right w:val="single" w:sz="8" w:space="0" w:color="auto"/>
            </w:tcBorders>
            <w:shd w:val="clear" w:color="000000" w:fill="FFFFFF"/>
            <w:vAlign w:val="center"/>
            <w:hideMark/>
          </w:tcPr>
          <w:p w:rsidR="00E02F05" w:rsidRPr="00E02F05" w:rsidRDefault="00E02F05" w:rsidP="00E02F05">
            <w:pPr>
              <w:ind w:right="59"/>
              <w:jc w:val="right"/>
              <w:rPr>
                <w:rFonts w:ascii="Trebuchet MS" w:eastAsia="Times New Roman" w:hAnsi="Trebuchet MS" w:cs="Arial"/>
                <w:b/>
                <w:bCs/>
                <w:sz w:val="22"/>
                <w:szCs w:val="22"/>
                <w:lang w:val="en-US"/>
              </w:rPr>
            </w:pPr>
            <w:r w:rsidRPr="00E02F05">
              <w:rPr>
                <w:rFonts w:ascii="Trebuchet MS" w:eastAsia="Times New Roman" w:hAnsi="Trebuchet MS" w:cs="Calibri"/>
                <w:b/>
                <w:bCs/>
                <w:sz w:val="22"/>
                <w:szCs w:val="22"/>
                <w:lang w:val="en-US"/>
              </w:rPr>
              <w:t>42,364,442.00</w:t>
            </w:r>
          </w:p>
        </w:tc>
      </w:tr>
      <w:tr w:rsidR="00E02F05" w:rsidRPr="00E02F05" w:rsidTr="00E52B52">
        <w:trPr>
          <w:trHeight w:val="317"/>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f</w:t>
            </w:r>
          </w:p>
        </w:tc>
        <w:tc>
          <w:tcPr>
            <w:tcW w:w="6684"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Dividends due to shareholders</w:t>
            </w:r>
            <w:r w:rsidRPr="00E02F05">
              <w:rPr>
                <w:rFonts w:ascii="Trebuchet MS" w:eastAsia="Times New Roman" w:hAnsi="Trebuchet MS" w:cs="Arial"/>
                <w:b/>
                <w:bCs/>
                <w:color w:val="000000"/>
                <w:sz w:val="22"/>
                <w:szCs w:val="22"/>
                <w:lang w:val="en-US"/>
              </w:rPr>
              <w:t xml:space="preserve"> (approx. 50.01% of net profit to be distributed) </w:t>
            </w:r>
            <w:r w:rsidRPr="00E02F05">
              <w:rPr>
                <w:rFonts w:ascii="Trebuchet MS" w:eastAsia="Times New Roman" w:hAnsi="Trebuchet MS" w:cs="Arial"/>
                <w:b/>
                <w:bCs/>
                <w:noProof/>
                <w:color w:val="000000"/>
                <w:sz w:val="22"/>
                <w:szCs w:val="22"/>
                <w:lang w:val="en-US"/>
              </w:rPr>
              <w:t>[E+e]*50</w:t>
            </w:r>
            <w:r w:rsidRPr="00E02F05">
              <w:rPr>
                <w:rFonts w:ascii="Trebuchet MS" w:eastAsia="Times New Roman" w:hAnsi="Trebuchet MS" w:cs="Arial"/>
                <w:b/>
                <w:bCs/>
                <w:color w:val="000000"/>
                <w:sz w:val="22"/>
                <w:szCs w:val="22"/>
                <w:lang w:val="en-US"/>
              </w:rPr>
              <w:t>.01%</w:t>
            </w:r>
          </w:p>
        </w:tc>
        <w:tc>
          <w:tcPr>
            <w:tcW w:w="2384" w:type="dxa"/>
            <w:tcBorders>
              <w:top w:val="nil"/>
              <w:left w:val="nil"/>
              <w:bottom w:val="single" w:sz="4" w:space="0" w:color="auto"/>
              <w:right w:val="single" w:sz="8" w:space="0" w:color="auto"/>
            </w:tcBorders>
            <w:shd w:val="clear" w:color="auto" w:fill="auto"/>
            <w:noWrap/>
            <w:vAlign w:val="center"/>
            <w:hideMark/>
          </w:tcPr>
          <w:p w:rsidR="00E02F05" w:rsidRPr="00E02F05" w:rsidRDefault="00E02F05" w:rsidP="00E02F05">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Calibri"/>
                <w:b/>
                <w:bCs/>
                <w:color w:val="000000"/>
                <w:sz w:val="22"/>
                <w:szCs w:val="22"/>
                <w:lang w:val="en-US"/>
              </w:rPr>
              <w:t>1,309,279,892.80</w:t>
            </w:r>
          </w:p>
        </w:tc>
      </w:tr>
      <w:tr w:rsidR="00E02F05" w:rsidRPr="00E02F05" w:rsidTr="00E52B52">
        <w:trPr>
          <w:trHeight w:val="509"/>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 </w:t>
            </w:r>
          </w:p>
        </w:tc>
        <w:tc>
          <w:tcPr>
            <w:tcW w:w="6684"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color w:val="000000"/>
                <w:sz w:val="22"/>
                <w:szCs w:val="22"/>
                <w:lang w:val="en-US"/>
              </w:rPr>
              <w:t xml:space="preserve">       f1) – dividends to the state budget </w:t>
            </w:r>
          </w:p>
        </w:tc>
        <w:tc>
          <w:tcPr>
            <w:tcW w:w="2384" w:type="dxa"/>
            <w:tcBorders>
              <w:top w:val="nil"/>
              <w:left w:val="nil"/>
              <w:bottom w:val="single" w:sz="4" w:space="0" w:color="auto"/>
              <w:right w:val="single" w:sz="8" w:space="0" w:color="auto"/>
            </w:tcBorders>
            <w:shd w:val="clear" w:color="auto" w:fill="auto"/>
            <w:vAlign w:val="center"/>
            <w:hideMark/>
          </w:tcPr>
          <w:p w:rsidR="00E02F05" w:rsidRPr="00E02F05" w:rsidRDefault="00E02F05" w:rsidP="00E02F05">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Calibri"/>
                <w:b/>
                <w:bCs/>
                <w:color w:val="000000"/>
                <w:sz w:val="22"/>
                <w:szCs w:val="22"/>
                <w:lang w:val="en-US"/>
              </w:rPr>
              <w:t>916,589,002.76</w:t>
            </w:r>
          </w:p>
        </w:tc>
      </w:tr>
      <w:tr w:rsidR="00E02F05" w:rsidRPr="00E02F05" w:rsidTr="00E52B52">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 </w:t>
            </w:r>
          </w:p>
        </w:tc>
        <w:tc>
          <w:tcPr>
            <w:tcW w:w="6684"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color w:val="000000"/>
                <w:sz w:val="22"/>
                <w:szCs w:val="22"/>
                <w:lang w:val="en-US"/>
              </w:rPr>
              <w:t xml:space="preserve">       f2) – dividends to other shareholders </w:t>
            </w:r>
          </w:p>
        </w:tc>
        <w:tc>
          <w:tcPr>
            <w:tcW w:w="2384" w:type="dxa"/>
            <w:tcBorders>
              <w:top w:val="nil"/>
              <w:left w:val="nil"/>
              <w:bottom w:val="single" w:sz="4" w:space="0" w:color="auto"/>
              <w:right w:val="single" w:sz="8" w:space="0" w:color="auto"/>
            </w:tcBorders>
            <w:shd w:val="clear" w:color="auto" w:fill="auto"/>
            <w:vAlign w:val="center"/>
            <w:hideMark/>
          </w:tcPr>
          <w:p w:rsidR="00E02F05" w:rsidRPr="00E02F05" w:rsidRDefault="00E02F05" w:rsidP="00E02F05">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Calibri"/>
                <w:b/>
                <w:bCs/>
                <w:color w:val="000000"/>
                <w:sz w:val="22"/>
                <w:szCs w:val="22"/>
                <w:lang w:val="en-US"/>
              </w:rPr>
              <w:t>392,690,890.04</w:t>
            </w:r>
          </w:p>
        </w:tc>
      </w:tr>
      <w:tr w:rsidR="00E02F05" w:rsidRPr="00E02F05" w:rsidTr="00E52B52">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 </w:t>
            </w:r>
          </w:p>
        </w:tc>
        <w:tc>
          <w:tcPr>
            <w:tcW w:w="6684"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color w:val="000000"/>
                <w:sz w:val="22"/>
                <w:szCs w:val="22"/>
                <w:lang w:val="en-US"/>
              </w:rPr>
              <w:t xml:space="preserve">                    - dividend/share (RON/share)</w:t>
            </w:r>
          </w:p>
        </w:tc>
        <w:tc>
          <w:tcPr>
            <w:tcW w:w="2384" w:type="dxa"/>
            <w:tcBorders>
              <w:top w:val="nil"/>
              <w:left w:val="nil"/>
              <w:bottom w:val="single" w:sz="4" w:space="0" w:color="auto"/>
              <w:right w:val="single" w:sz="8" w:space="0" w:color="auto"/>
            </w:tcBorders>
            <w:shd w:val="clear" w:color="auto" w:fill="auto"/>
            <w:vAlign w:val="center"/>
            <w:hideMark/>
          </w:tcPr>
          <w:p w:rsidR="00E02F05" w:rsidRPr="00E02F05" w:rsidRDefault="00E02F05" w:rsidP="00E02F05">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Calibri"/>
                <w:b/>
                <w:bCs/>
                <w:color w:val="000000"/>
                <w:sz w:val="22"/>
                <w:szCs w:val="22"/>
                <w:lang w:val="en-US"/>
              </w:rPr>
              <w:t>0.3397</w:t>
            </w:r>
          </w:p>
        </w:tc>
      </w:tr>
      <w:tr w:rsidR="00E02F05" w:rsidRPr="00E02F05" w:rsidTr="00E52B52">
        <w:trPr>
          <w:trHeight w:val="372"/>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g</w:t>
            </w:r>
          </w:p>
        </w:tc>
        <w:tc>
          <w:tcPr>
            <w:tcW w:w="6684"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color w:val="000000"/>
                <w:sz w:val="22"/>
                <w:szCs w:val="22"/>
                <w:lang w:val="en-US"/>
              </w:rPr>
              <w:t xml:space="preserve">Profit for </w:t>
            </w:r>
            <w:r w:rsidRPr="00E02F05">
              <w:rPr>
                <w:rFonts w:ascii="Trebuchet MS" w:eastAsia="Times New Roman" w:hAnsi="Trebuchet MS" w:cs="Arial"/>
                <w:b/>
                <w:bCs/>
                <w:sz w:val="22"/>
                <w:szCs w:val="22"/>
                <w:lang w:val="en-US"/>
              </w:rPr>
              <w:t>establishing own financing sources</w:t>
            </w:r>
            <w:r w:rsidRPr="00E02F05">
              <w:rPr>
                <w:rFonts w:ascii="Trebuchet MS" w:eastAsia="Times New Roman" w:hAnsi="Trebuchet MS" w:cs="Arial"/>
                <w:b/>
                <w:bCs/>
                <w:color w:val="000000"/>
                <w:sz w:val="22"/>
                <w:szCs w:val="22"/>
                <w:lang w:val="en-US"/>
              </w:rPr>
              <w:t xml:space="preserve"> [E-f]</w:t>
            </w:r>
          </w:p>
        </w:tc>
        <w:tc>
          <w:tcPr>
            <w:tcW w:w="2384" w:type="dxa"/>
            <w:tcBorders>
              <w:top w:val="nil"/>
              <w:left w:val="nil"/>
              <w:bottom w:val="single" w:sz="4" w:space="0" w:color="auto"/>
              <w:right w:val="single" w:sz="8" w:space="0" w:color="auto"/>
            </w:tcBorders>
            <w:shd w:val="clear" w:color="auto" w:fill="auto"/>
            <w:vAlign w:val="center"/>
            <w:hideMark/>
          </w:tcPr>
          <w:p w:rsidR="00E02F05" w:rsidRPr="00E02F05" w:rsidRDefault="00E02F05" w:rsidP="00E02F05">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Calibri"/>
                <w:b/>
                <w:bCs/>
                <w:color w:val="000000"/>
                <w:sz w:val="22"/>
                <w:szCs w:val="22"/>
                <w:lang w:val="en-US"/>
              </w:rPr>
              <w:t>1,266,413,506.42</w:t>
            </w:r>
          </w:p>
        </w:tc>
      </w:tr>
      <w:tr w:rsidR="00E02F05" w:rsidRPr="00E02F05" w:rsidTr="00E52B52">
        <w:trPr>
          <w:trHeight w:val="419"/>
        </w:trPr>
        <w:tc>
          <w:tcPr>
            <w:tcW w:w="630" w:type="dxa"/>
            <w:tcBorders>
              <w:top w:val="nil"/>
              <w:left w:val="single" w:sz="8" w:space="0" w:color="auto"/>
              <w:bottom w:val="single" w:sz="8" w:space="0" w:color="auto"/>
              <w:right w:val="single" w:sz="4" w:space="0" w:color="auto"/>
            </w:tcBorders>
            <w:shd w:val="clear" w:color="auto" w:fill="auto"/>
            <w:vAlign w:val="center"/>
            <w:hideMark/>
          </w:tcPr>
          <w:p w:rsidR="00E02F05" w:rsidRPr="00E02F05" w:rsidRDefault="00E02F05" w:rsidP="00E02F05">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w:t>
            </w:r>
          </w:p>
        </w:tc>
        <w:tc>
          <w:tcPr>
            <w:tcW w:w="6684" w:type="dxa"/>
            <w:tcBorders>
              <w:top w:val="nil"/>
              <w:left w:val="nil"/>
              <w:bottom w:val="single" w:sz="8" w:space="0" w:color="auto"/>
              <w:right w:val="single" w:sz="4" w:space="0" w:color="auto"/>
            </w:tcBorders>
            <w:shd w:val="clear" w:color="auto" w:fill="auto"/>
            <w:vAlign w:val="center"/>
            <w:hideMark/>
          </w:tcPr>
          <w:p w:rsidR="00E02F05" w:rsidRPr="00E02F05" w:rsidRDefault="00E02F05" w:rsidP="00E02F05">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color w:val="000000"/>
                <w:sz w:val="22"/>
                <w:szCs w:val="22"/>
                <w:lang w:val="en-US"/>
              </w:rPr>
              <w:t>TOTAL DISTRIBUTIONS [a+b+c+c1+d+f+g]</w:t>
            </w:r>
          </w:p>
        </w:tc>
        <w:tc>
          <w:tcPr>
            <w:tcW w:w="2384" w:type="dxa"/>
            <w:tcBorders>
              <w:top w:val="nil"/>
              <w:left w:val="nil"/>
              <w:bottom w:val="single" w:sz="8" w:space="0" w:color="auto"/>
              <w:right w:val="single" w:sz="8" w:space="0" w:color="auto"/>
            </w:tcBorders>
            <w:shd w:val="clear" w:color="auto" w:fill="auto"/>
            <w:vAlign w:val="center"/>
            <w:hideMark/>
          </w:tcPr>
          <w:p w:rsidR="00E02F05" w:rsidRPr="00E02F05" w:rsidRDefault="00E02F05" w:rsidP="00E02F05">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Arial"/>
                <w:b/>
                <w:bCs/>
                <w:color w:val="000000"/>
                <w:sz w:val="22"/>
                <w:szCs w:val="22"/>
                <w:lang w:val="en-US"/>
              </w:rPr>
              <w:t>2,649,276,775.22</w:t>
            </w:r>
          </w:p>
        </w:tc>
      </w:tr>
    </w:tbl>
    <w:p w:rsidR="00E02F05" w:rsidRPr="00E02F05" w:rsidRDefault="00E02F05" w:rsidP="00E02F05">
      <w:pPr>
        <w:suppressAutoHyphens w:val="0"/>
        <w:jc w:val="both"/>
        <w:rPr>
          <w:rFonts w:ascii="Trebuchet MS" w:hAnsi="Trebuchet MS" w:cs="Arial"/>
          <w:noProof/>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II</w:t>
      </w:r>
    </w:p>
    <w:p w:rsidR="00E02F05" w:rsidRPr="00E02F05" w:rsidRDefault="00E02F05" w:rsidP="00E02F05">
      <w:pPr>
        <w:shd w:val="clear" w:color="auto" w:fill="FFFFFF"/>
        <w:jc w:val="both"/>
        <w:rPr>
          <w:rFonts w:ascii="Trebuchet MS" w:eastAsia="Times New Roman" w:hAnsi="Trebuchet MS" w:cs="Arial"/>
          <w:b/>
          <w:sz w:val="22"/>
          <w:szCs w:val="22"/>
          <w:lang w:val="en-GB"/>
        </w:rPr>
      </w:pPr>
      <w:r w:rsidRPr="00E02F05">
        <w:rPr>
          <w:rFonts w:ascii="Trebuchet MS" w:eastAsia="Times New Roman" w:hAnsi="Trebuchet MS" w:cs="Arial"/>
          <w:b/>
          <w:sz w:val="22"/>
          <w:szCs w:val="22"/>
          <w:lang w:val="en-GB"/>
        </w:rPr>
        <w:t>Approves the distribution of net profit achieved by S.N.G.N. “ROMGAZ”- S.A. in 2023, as follows:</w:t>
      </w:r>
    </w:p>
    <w:tbl>
      <w:tblPr>
        <w:tblW w:w="0" w:type="auto"/>
        <w:tblInd w:w="-10" w:type="dxa"/>
        <w:tblLayout w:type="fixed"/>
        <w:tblLook w:val="04A0" w:firstRow="1" w:lastRow="0" w:firstColumn="1" w:lastColumn="0" w:noHBand="0" w:noVBand="1"/>
      </w:tblPr>
      <w:tblGrid>
        <w:gridCol w:w="681"/>
        <w:gridCol w:w="6633"/>
        <w:gridCol w:w="2384"/>
      </w:tblGrid>
      <w:tr w:rsidR="00E02F05" w:rsidRPr="00E02F05" w:rsidTr="00E52B52">
        <w:trPr>
          <w:trHeight w:val="576"/>
        </w:trPr>
        <w:tc>
          <w:tcPr>
            <w:tcW w:w="68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I</w:t>
            </w:r>
          </w:p>
        </w:tc>
        <w:tc>
          <w:tcPr>
            <w:tcW w:w="6633" w:type="dxa"/>
            <w:tcBorders>
              <w:top w:val="single" w:sz="8" w:space="0" w:color="auto"/>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Indicators</w:t>
            </w:r>
          </w:p>
        </w:tc>
        <w:tc>
          <w:tcPr>
            <w:tcW w:w="2384" w:type="dxa"/>
            <w:tcBorders>
              <w:top w:val="single" w:sz="8" w:space="0" w:color="auto"/>
              <w:left w:val="nil"/>
              <w:bottom w:val="single" w:sz="4" w:space="0" w:color="auto"/>
              <w:right w:val="single" w:sz="8"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Year 2023                                                            (RON)</w:t>
            </w:r>
          </w:p>
        </w:tc>
      </w:tr>
      <w:tr w:rsidR="00E02F05" w:rsidRPr="00E02F05" w:rsidTr="00E52B5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0</w:t>
            </w:r>
          </w:p>
        </w:tc>
        <w:tc>
          <w:tcPr>
            <w:tcW w:w="6633"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1</w:t>
            </w:r>
          </w:p>
        </w:tc>
        <w:tc>
          <w:tcPr>
            <w:tcW w:w="2384" w:type="dxa"/>
            <w:tcBorders>
              <w:top w:val="nil"/>
              <w:left w:val="nil"/>
              <w:bottom w:val="single" w:sz="4" w:space="0" w:color="auto"/>
              <w:right w:val="single" w:sz="8"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2</w:t>
            </w:r>
          </w:p>
        </w:tc>
      </w:tr>
      <w:tr w:rsidR="00E02F05" w:rsidRPr="00E02F05" w:rsidTr="00E52B5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A</w:t>
            </w:r>
          </w:p>
        </w:tc>
        <w:tc>
          <w:tcPr>
            <w:tcW w:w="6633"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Gross result of the financial year</w:t>
            </w:r>
          </w:p>
        </w:tc>
        <w:tc>
          <w:tcPr>
            <w:tcW w:w="2384" w:type="dxa"/>
            <w:tcBorders>
              <w:top w:val="nil"/>
              <w:left w:val="nil"/>
              <w:bottom w:val="single" w:sz="4" w:space="0" w:color="auto"/>
              <w:right w:val="single" w:sz="8" w:space="0" w:color="auto"/>
            </w:tcBorders>
            <w:shd w:val="clear" w:color="auto" w:fill="auto"/>
            <w:vAlign w:val="center"/>
            <w:hideMark/>
          </w:tcPr>
          <w:p w:rsidR="00E02F05" w:rsidRPr="00E02F05" w:rsidRDefault="00E02F05" w:rsidP="00E02F05">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Calibri"/>
                <w:b/>
                <w:bCs/>
                <w:color w:val="000000"/>
                <w:position w:val="8"/>
                <w:sz w:val="22"/>
                <w:szCs w:val="22"/>
                <w:lang w:val="en-US"/>
              </w:rPr>
              <w:t>3,322,886,111.85</w:t>
            </w:r>
          </w:p>
        </w:tc>
      </w:tr>
      <w:tr w:rsidR="00E02F05" w:rsidRPr="00E02F05" w:rsidTr="00E52B5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B</w:t>
            </w:r>
          </w:p>
        </w:tc>
        <w:tc>
          <w:tcPr>
            <w:tcW w:w="6633"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Current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E02F05" w:rsidRPr="00E02F05" w:rsidRDefault="00E02F05" w:rsidP="00E02F05">
            <w:pPr>
              <w:suppressAutoHyphens w:val="0"/>
              <w:ind w:right="59"/>
              <w:jc w:val="right"/>
              <w:rPr>
                <w:rFonts w:ascii="Trebuchet MS" w:eastAsia="Calibri" w:hAnsi="Trebuchet MS" w:cs="Arial"/>
                <w:b/>
                <w:bCs/>
                <w:position w:val="8"/>
                <w:sz w:val="22"/>
                <w:szCs w:val="22"/>
                <w:lang w:val="en-US"/>
              </w:rPr>
            </w:pPr>
            <w:r w:rsidRPr="00E02F05">
              <w:rPr>
                <w:rFonts w:ascii="Trebuchet MS" w:eastAsia="Calibri" w:hAnsi="Trebuchet MS" w:cs="Calibri"/>
                <w:b/>
                <w:bCs/>
                <w:position w:val="8"/>
                <w:sz w:val="22"/>
                <w:szCs w:val="22"/>
                <w:lang w:val="en-US"/>
              </w:rPr>
              <w:t>668,409,596.00</w:t>
            </w:r>
          </w:p>
        </w:tc>
      </w:tr>
      <w:tr w:rsidR="00E02F05" w:rsidRPr="00E02F05" w:rsidTr="00E52B5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C</w:t>
            </w:r>
          </w:p>
        </w:tc>
        <w:tc>
          <w:tcPr>
            <w:tcW w:w="6633"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Revenue from 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E02F05" w:rsidRPr="00E02F05" w:rsidRDefault="00E02F05" w:rsidP="00E02F05">
            <w:pPr>
              <w:suppressAutoHyphens w:val="0"/>
              <w:ind w:right="59"/>
              <w:jc w:val="right"/>
              <w:rPr>
                <w:rFonts w:ascii="Trebuchet MS" w:eastAsia="Calibri" w:hAnsi="Trebuchet MS" w:cs="Arial"/>
                <w:b/>
                <w:bCs/>
                <w:position w:val="8"/>
                <w:sz w:val="22"/>
                <w:szCs w:val="22"/>
                <w:lang w:val="en-US"/>
              </w:rPr>
            </w:pPr>
            <w:r w:rsidRPr="00E02F05">
              <w:rPr>
                <w:rFonts w:ascii="Trebuchet MS" w:eastAsia="Calibri" w:hAnsi="Trebuchet MS" w:cs="Calibri"/>
                <w:b/>
                <w:bCs/>
                <w:position w:val="8"/>
                <w:sz w:val="22"/>
                <w:szCs w:val="22"/>
                <w:lang w:val="en-US"/>
              </w:rPr>
              <w:t>11,225,825.71</w:t>
            </w:r>
          </w:p>
        </w:tc>
      </w:tr>
      <w:tr w:rsidR="00E02F05" w:rsidRPr="00E02F05" w:rsidTr="00E52B5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C.1</w:t>
            </w:r>
          </w:p>
        </w:tc>
        <w:tc>
          <w:tcPr>
            <w:tcW w:w="6633"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E02F05" w:rsidRPr="00E02F05" w:rsidRDefault="00E02F05" w:rsidP="00E02F05">
            <w:pPr>
              <w:suppressAutoHyphens w:val="0"/>
              <w:ind w:right="59"/>
              <w:jc w:val="right"/>
              <w:rPr>
                <w:rFonts w:ascii="Trebuchet MS" w:eastAsia="Calibri" w:hAnsi="Trebuchet MS" w:cs="Arial"/>
                <w:b/>
                <w:bCs/>
                <w:position w:val="8"/>
                <w:sz w:val="22"/>
                <w:szCs w:val="22"/>
                <w:lang w:val="en-US"/>
              </w:rPr>
            </w:pPr>
            <w:r w:rsidRPr="00E02F05">
              <w:rPr>
                <w:rFonts w:ascii="Trebuchet MS" w:eastAsia="Calibri" w:hAnsi="Trebuchet MS" w:cs="Calibri"/>
                <w:b/>
                <w:bCs/>
                <w:position w:val="8"/>
                <w:sz w:val="22"/>
                <w:szCs w:val="22"/>
                <w:lang w:val="en-US"/>
              </w:rPr>
              <w:t>16,425,566.34</w:t>
            </w:r>
          </w:p>
        </w:tc>
      </w:tr>
      <w:tr w:rsidR="00E02F05" w:rsidRPr="00E02F05" w:rsidTr="00E52B52">
        <w:trPr>
          <w:trHeight w:val="437"/>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D</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Net result of the financial year [A-B+C-C.1], (accounting profit after profit tax), including:</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E02F05" w:rsidRPr="00E02F05" w:rsidRDefault="00E02F05" w:rsidP="00E02F05">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Calibri"/>
                <w:b/>
                <w:bCs/>
                <w:color w:val="000000"/>
                <w:position w:val="8"/>
                <w:sz w:val="22"/>
                <w:szCs w:val="22"/>
                <w:lang w:val="en-US"/>
              </w:rPr>
              <w:t>2,649,276,775.22</w:t>
            </w:r>
          </w:p>
        </w:tc>
      </w:tr>
      <w:tr w:rsidR="00E02F05" w:rsidRPr="00E02F05" w:rsidTr="00E52B52">
        <w:trPr>
          <w:trHeight w:val="17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a</w:t>
            </w:r>
          </w:p>
        </w:tc>
        <w:tc>
          <w:tcPr>
            <w:tcW w:w="6633"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Legal reserves</w:t>
            </w:r>
          </w:p>
        </w:tc>
        <w:tc>
          <w:tcPr>
            <w:tcW w:w="2384" w:type="dxa"/>
            <w:tcBorders>
              <w:top w:val="nil"/>
              <w:left w:val="nil"/>
              <w:bottom w:val="single" w:sz="4" w:space="0" w:color="auto"/>
              <w:right w:val="single" w:sz="8" w:space="0" w:color="auto"/>
            </w:tcBorders>
            <w:shd w:val="clear" w:color="000000" w:fill="FFFFFF"/>
            <w:noWrap/>
            <w:vAlign w:val="center"/>
            <w:hideMark/>
          </w:tcPr>
          <w:p w:rsidR="00E02F05" w:rsidRPr="00E02F05" w:rsidRDefault="00E02F05" w:rsidP="00E02F05">
            <w:pPr>
              <w:suppressAutoHyphens w:val="0"/>
              <w:ind w:right="59"/>
              <w:jc w:val="right"/>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0.00</w:t>
            </w:r>
          </w:p>
        </w:tc>
      </w:tr>
      <w:tr w:rsidR="00E02F05" w:rsidRPr="00E02F05" w:rsidTr="00E52B52">
        <w:trPr>
          <w:trHeight w:val="481"/>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b</w:t>
            </w:r>
          </w:p>
        </w:tc>
        <w:tc>
          <w:tcPr>
            <w:tcW w:w="6633"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Other reserves representing fiscal facilities provided by law (Law no. 227/2015 - Article 22)</w:t>
            </w:r>
          </w:p>
        </w:tc>
        <w:tc>
          <w:tcPr>
            <w:tcW w:w="2384" w:type="dxa"/>
            <w:tcBorders>
              <w:top w:val="nil"/>
              <w:left w:val="nil"/>
              <w:bottom w:val="single" w:sz="4" w:space="0" w:color="auto"/>
              <w:right w:val="single" w:sz="8" w:space="0" w:color="auto"/>
            </w:tcBorders>
            <w:shd w:val="clear" w:color="000000" w:fill="FFFFFF"/>
            <w:noWrap/>
            <w:vAlign w:val="center"/>
            <w:hideMark/>
          </w:tcPr>
          <w:p w:rsidR="00E02F05" w:rsidRPr="00E02F05" w:rsidRDefault="00E02F05" w:rsidP="00E02F05">
            <w:pPr>
              <w:suppressAutoHyphens w:val="0"/>
              <w:ind w:right="59"/>
              <w:jc w:val="right"/>
              <w:rPr>
                <w:rFonts w:ascii="Trebuchet MS" w:eastAsia="Calibri" w:hAnsi="Trebuchet MS" w:cs="Arial"/>
                <w:b/>
                <w:bCs/>
                <w:position w:val="8"/>
                <w:sz w:val="22"/>
                <w:szCs w:val="22"/>
                <w:lang w:val="en-US"/>
              </w:rPr>
            </w:pPr>
            <w:r w:rsidRPr="00E02F05">
              <w:rPr>
                <w:rFonts w:ascii="Trebuchet MS" w:eastAsia="Calibri" w:hAnsi="Trebuchet MS" w:cs="Calibri"/>
                <w:b/>
                <w:bCs/>
                <w:position w:val="8"/>
                <w:sz w:val="22"/>
                <w:szCs w:val="22"/>
                <w:lang w:val="en-US"/>
              </w:rPr>
              <w:t>73,583,376.00</w:t>
            </w:r>
          </w:p>
        </w:tc>
      </w:tr>
      <w:tr w:rsidR="00E02F05" w:rsidRPr="00E02F05" w:rsidTr="00E52B52">
        <w:trPr>
          <w:trHeight w:val="24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c</w:t>
            </w:r>
          </w:p>
        </w:tc>
        <w:tc>
          <w:tcPr>
            <w:tcW w:w="6633"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Coverage of losses in retained earnings (in accordance with Article 1, paragraph (1), c) of GO no. 64/2001)</w:t>
            </w:r>
          </w:p>
        </w:tc>
        <w:tc>
          <w:tcPr>
            <w:tcW w:w="2384" w:type="dxa"/>
            <w:tcBorders>
              <w:top w:val="nil"/>
              <w:left w:val="nil"/>
              <w:bottom w:val="single" w:sz="4" w:space="0" w:color="auto"/>
              <w:right w:val="single" w:sz="8" w:space="0" w:color="auto"/>
            </w:tcBorders>
            <w:shd w:val="clear" w:color="auto" w:fill="auto"/>
            <w:vAlign w:val="center"/>
            <w:hideMark/>
          </w:tcPr>
          <w:p w:rsidR="00E02F05" w:rsidRPr="00E02F05" w:rsidRDefault="00E02F05" w:rsidP="00E02F05">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0.00</w:t>
            </w:r>
            <w:r w:rsidRPr="00E02F05">
              <w:rPr>
                <w:rFonts w:ascii="Trebuchet MS" w:eastAsia="Calibri" w:hAnsi="Trebuchet MS" w:cs="Arial"/>
                <w:b/>
                <w:bCs/>
                <w:color w:val="000000"/>
                <w:position w:val="8"/>
                <w:sz w:val="22"/>
                <w:szCs w:val="22"/>
                <w:lang w:val="en-US"/>
              </w:rPr>
              <w:t> </w:t>
            </w:r>
          </w:p>
        </w:tc>
      </w:tr>
      <w:tr w:rsidR="00E02F05" w:rsidRPr="00E02F05" w:rsidTr="00E52B52">
        <w:trPr>
          <w:trHeight w:val="723"/>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c1</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Establishing own financing sources for co-financed projects from external loans (in accordance with Article 1, paragraph (1), c^1 of GO no. 64/2001)</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E02F05" w:rsidRPr="00E02F05" w:rsidRDefault="00E02F05" w:rsidP="00E02F05">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0.00</w:t>
            </w:r>
            <w:r w:rsidRPr="00E02F05">
              <w:rPr>
                <w:rFonts w:ascii="Trebuchet MS" w:eastAsia="Calibri" w:hAnsi="Trebuchet MS" w:cs="Arial"/>
                <w:b/>
                <w:bCs/>
                <w:color w:val="000000"/>
                <w:position w:val="8"/>
                <w:sz w:val="22"/>
                <w:szCs w:val="22"/>
                <w:lang w:val="en-US"/>
              </w:rPr>
              <w:t> </w:t>
            </w:r>
          </w:p>
        </w:tc>
      </w:tr>
      <w:tr w:rsidR="00E02F05" w:rsidRPr="00E02F05" w:rsidTr="00E52B52">
        <w:trPr>
          <w:trHeight w:val="23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d</w:t>
            </w:r>
          </w:p>
        </w:tc>
        <w:tc>
          <w:tcPr>
            <w:tcW w:w="6633"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Other distributions as provided by special laws</w:t>
            </w:r>
          </w:p>
        </w:tc>
        <w:tc>
          <w:tcPr>
            <w:tcW w:w="2384" w:type="dxa"/>
            <w:tcBorders>
              <w:top w:val="nil"/>
              <w:left w:val="nil"/>
              <w:bottom w:val="single" w:sz="4" w:space="0" w:color="auto"/>
              <w:right w:val="single" w:sz="8" w:space="0" w:color="auto"/>
            </w:tcBorders>
            <w:shd w:val="clear" w:color="auto" w:fill="auto"/>
            <w:vAlign w:val="center"/>
            <w:hideMark/>
          </w:tcPr>
          <w:p w:rsidR="00E02F05" w:rsidRPr="00E02F05" w:rsidRDefault="00E02F05" w:rsidP="00E02F05">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0.00</w:t>
            </w:r>
            <w:r w:rsidRPr="00E02F05">
              <w:rPr>
                <w:rFonts w:ascii="Trebuchet MS" w:eastAsia="Calibri" w:hAnsi="Trebuchet MS" w:cs="Arial"/>
                <w:b/>
                <w:bCs/>
                <w:color w:val="000000"/>
                <w:position w:val="8"/>
                <w:sz w:val="22"/>
                <w:szCs w:val="22"/>
                <w:lang w:val="en-US"/>
              </w:rPr>
              <w:t> </w:t>
            </w:r>
          </w:p>
        </w:tc>
      </w:tr>
      <w:tr w:rsidR="00E02F05" w:rsidRPr="00E02F05" w:rsidTr="00E52B5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 xml:space="preserve">E </w:t>
            </w:r>
          </w:p>
        </w:tc>
        <w:tc>
          <w:tcPr>
            <w:tcW w:w="6633"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Remaining net profit to be distributed (D-a-b-c-c1-d)</w:t>
            </w:r>
          </w:p>
        </w:tc>
        <w:tc>
          <w:tcPr>
            <w:tcW w:w="2384" w:type="dxa"/>
            <w:tcBorders>
              <w:top w:val="nil"/>
              <w:left w:val="nil"/>
              <w:bottom w:val="single" w:sz="4" w:space="0" w:color="auto"/>
              <w:right w:val="single" w:sz="8" w:space="0" w:color="auto"/>
            </w:tcBorders>
            <w:shd w:val="clear" w:color="auto" w:fill="auto"/>
            <w:vAlign w:val="center"/>
            <w:hideMark/>
          </w:tcPr>
          <w:p w:rsidR="00E02F05" w:rsidRPr="00E02F05" w:rsidRDefault="00E02F05" w:rsidP="00E02F05">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Calibri"/>
                <w:b/>
                <w:bCs/>
                <w:color w:val="000000"/>
                <w:position w:val="8"/>
                <w:sz w:val="22"/>
                <w:szCs w:val="22"/>
                <w:lang w:val="en-US"/>
              </w:rPr>
              <w:t>2,575,693,399.22</w:t>
            </w:r>
          </w:p>
        </w:tc>
      </w:tr>
      <w:tr w:rsidR="00E02F05" w:rsidRPr="00E02F05" w:rsidTr="00E52B52">
        <w:trPr>
          <w:trHeight w:val="317"/>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e</w:t>
            </w:r>
          </w:p>
        </w:tc>
        <w:tc>
          <w:tcPr>
            <w:tcW w:w="6633"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Employees’ participation to profit (in accordance with Article 1, paragraph (1), e) of GO no. 64/2001)</w:t>
            </w:r>
          </w:p>
        </w:tc>
        <w:tc>
          <w:tcPr>
            <w:tcW w:w="2384" w:type="dxa"/>
            <w:tcBorders>
              <w:top w:val="nil"/>
              <w:left w:val="nil"/>
              <w:bottom w:val="single" w:sz="4" w:space="0" w:color="auto"/>
              <w:right w:val="single" w:sz="8" w:space="0" w:color="auto"/>
            </w:tcBorders>
            <w:shd w:val="clear" w:color="000000" w:fill="FFFFFF"/>
            <w:noWrap/>
            <w:vAlign w:val="center"/>
            <w:hideMark/>
          </w:tcPr>
          <w:p w:rsidR="00E02F05" w:rsidRPr="00E02F05" w:rsidRDefault="00E02F05" w:rsidP="00E02F05">
            <w:pPr>
              <w:suppressAutoHyphens w:val="0"/>
              <w:ind w:right="59"/>
              <w:jc w:val="right"/>
              <w:rPr>
                <w:rFonts w:ascii="Trebuchet MS" w:eastAsia="Calibri" w:hAnsi="Trebuchet MS" w:cs="Arial"/>
                <w:b/>
                <w:bCs/>
                <w:position w:val="8"/>
                <w:sz w:val="22"/>
                <w:szCs w:val="22"/>
                <w:lang w:val="en-US"/>
              </w:rPr>
            </w:pPr>
            <w:r w:rsidRPr="00E02F05">
              <w:rPr>
                <w:rFonts w:ascii="Trebuchet MS" w:eastAsia="Calibri" w:hAnsi="Trebuchet MS" w:cs="Calibri"/>
                <w:b/>
                <w:bCs/>
                <w:position w:val="8"/>
                <w:sz w:val="22"/>
                <w:szCs w:val="22"/>
                <w:lang w:val="en-US"/>
              </w:rPr>
              <w:t>42,364,442.00</w:t>
            </w:r>
          </w:p>
        </w:tc>
      </w:tr>
      <w:tr w:rsidR="00E02F05" w:rsidRPr="00E02F05" w:rsidTr="00E52B52">
        <w:trPr>
          <w:trHeight w:val="50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f</w:t>
            </w:r>
          </w:p>
        </w:tc>
        <w:tc>
          <w:tcPr>
            <w:tcW w:w="6633"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Dividends due to shareholders</w:t>
            </w:r>
            <w:r w:rsidRPr="00E02F05">
              <w:rPr>
                <w:rFonts w:ascii="Trebuchet MS" w:eastAsia="Calibri" w:hAnsi="Trebuchet MS" w:cs="Arial"/>
                <w:b/>
                <w:bCs/>
                <w:color w:val="000000"/>
                <w:position w:val="8"/>
                <w:sz w:val="22"/>
                <w:szCs w:val="22"/>
                <w:lang w:val="en-US"/>
              </w:rPr>
              <w:t xml:space="preserve"> (approx. 20.01% of net profit to be distributed) </w:t>
            </w:r>
            <w:r w:rsidRPr="00E02F05">
              <w:rPr>
                <w:rFonts w:ascii="Trebuchet MS" w:eastAsia="Calibri" w:hAnsi="Trebuchet MS" w:cs="Arial"/>
                <w:b/>
                <w:bCs/>
                <w:noProof/>
                <w:color w:val="000000"/>
                <w:position w:val="8"/>
                <w:sz w:val="22"/>
                <w:szCs w:val="22"/>
                <w:lang w:val="en-US"/>
              </w:rPr>
              <w:t>[E+e]*</w:t>
            </w:r>
            <w:r w:rsidRPr="00E02F05">
              <w:rPr>
                <w:rFonts w:ascii="Trebuchet MS" w:eastAsia="Calibri" w:hAnsi="Trebuchet MS" w:cs="Arial"/>
                <w:b/>
                <w:bCs/>
                <w:color w:val="000000"/>
                <w:position w:val="8"/>
                <w:sz w:val="22"/>
                <w:szCs w:val="22"/>
                <w:lang w:val="en-US"/>
              </w:rPr>
              <w:t>20.01%</w:t>
            </w:r>
          </w:p>
        </w:tc>
        <w:tc>
          <w:tcPr>
            <w:tcW w:w="2384" w:type="dxa"/>
            <w:tcBorders>
              <w:top w:val="nil"/>
              <w:left w:val="nil"/>
              <w:bottom w:val="single" w:sz="4" w:space="0" w:color="auto"/>
              <w:right w:val="single" w:sz="8" w:space="0" w:color="auto"/>
            </w:tcBorders>
            <w:shd w:val="clear" w:color="auto" w:fill="auto"/>
            <w:vAlign w:val="center"/>
            <w:hideMark/>
          </w:tcPr>
          <w:p w:rsidR="00E02F05" w:rsidRPr="00E02F05" w:rsidRDefault="00E02F05" w:rsidP="00E02F05">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Calibri"/>
                <w:b/>
                <w:bCs/>
                <w:color w:val="000000"/>
                <w:position w:val="8"/>
                <w:sz w:val="22"/>
                <w:szCs w:val="22"/>
                <w:lang w:val="en-US"/>
              </w:rPr>
              <w:t>523,789,041.60</w:t>
            </w:r>
          </w:p>
        </w:tc>
      </w:tr>
      <w:tr w:rsidR="00E02F05" w:rsidRPr="00E02F05" w:rsidTr="00945A2A">
        <w:trPr>
          <w:trHeight w:val="360"/>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lastRenderedPageBreak/>
              <w:t> </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 xml:space="preserve">       f1) – dividends to the state budget </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E02F05" w:rsidRPr="00E02F05" w:rsidRDefault="00E02F05" w:rsidP="00E02F05">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Calibri"/>
                <w:b/>
                <w:bCs/>
                <w:color w:val="000000"/>
                <w:position w:val="8"/>
                <w:sz w:val="22"/>
                <w:szCs w:val="22"/>
                <w:lang w:val="en-US"/>
              </w:rPr>
              <w:t>366,689,565.72</w:t>
            </w:r>
          </w:p>
        </w:tc>
      </w:tr>
      <w:tr w:rsidR="00E02F05" w:rsidRPr="00E02F05" w:rsidTr="00E02F05">
        <w:trPr>
          <w:trHeight w:val="360"/>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 </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 xml:space="preserve">       f2) – dividends to other shareholders </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E02F05" w:rsidRPr="00E02F05" w:rsidRDefault="00E02F05" w:rsidP="00E02F05">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Calibri"/>
                <w:b/>
                <w:bCs/>
                <w:color w:val="000000"/>
                <w:position w:val="8"/>
                <w:sz w:val="22"/>
                <w:szCs w:val="22"/>
                <w:lang w:val="en-US"/>
              </w:rPr>
              <w:t>157,099,475.88</w:t>
            </w:r>
          </w:p>
        </w:tc>
      </w:tr>
      <w:tr w:rsidR="00E02F05" w:rsidRPr="00E02F05" w:rsidTr="00E02F05">
        <w:trPr>
          <w:trHeight w:val="372"/>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 </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 xml:space="preserve">                    - dividend/share (RON/share)</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E02F05" w:rsidRPr="00E02F05" w:rsidRDefault="00E02F05" w:rsidP="00E02F05">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Calibri"/>
                <w:b/>
                <w:bCs/>
                <w:color w:val="000000"/>
                <w:position w:val="8"/>
                <w:sz w:val="22"/>
                <w:szCs w:val="22"/>
                <w:lang w:val="en-US"/>
              </w:rPr>
              <w:t>0.1359</w:t>
            </w:r>
          </w:p>
        </w:tc>
      </w:tr>
      <w:tr w:rsidR="00E02F05" w:rsidRPr="00E02F05" w:rsidTr="00E52B52">
        <w:trPr>
          <w:trHeight w:val="372"/>
        </w:trPr>
        <w:tc>
          <w:tcPr>
            <w:tcW w:w="681" w:type="dxa"/>
            <w:tcBorders>
              <w:top w:val="nil"/>
              <w:left w:val="single" w:sz="8" w:space="0" w:color="auto"/>
              <w:bottom w:val="single" w:sz="4" w:space="0" w:color="auto"/>
              <w:right w:val="single" w:sz="4" w:space="0" w:color="auto"/>
            </w:tcBorders>
            <w:shd w:val="clear" w:color="auto" w:fill="auto"/>
            <w:vAlign w:val="center"/>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g</w:t>
            </w:r>
          </w:p>
        </w:tc>
        <w:tc>
          <w:tcPr>
            <w:tcW w:w="6633" w:type="dxa"/>
            <w:tcBorders>
              <w:top w:val="nil"/>
              <w:left w:val="nil"/>
              <w:bottom w:val="single" w:sz="4" w:space="0" w:color="auto"/>
              <w:right w:val="single" w:sz="4" w:space="0" w:color="auto"/>
            </w:tcBorders>
            <w:shd w:val="clear" w:color="auto" w:fill="auto"/>
            <w:vAlign w:val="center"/>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Profit for establishing reserves used to finance major investment projects or of national interest or to finance subsidiaries involved in such projects</w:t>
            </w:r>
          </w:p>
        </w:tc>
        <w:tc>
          <w:tcPr>
            <w:tcW w:w="2384" w:type="dxa"/>
            <w:tcBorders>
              <w:top w:val="nil"/>
              <w:left w:val="nil"/>
              <w:bottom w:val="single" w:sz="4" w:space="0" w:color="auto"/>
              <w:right w:val="single" w:sz="8" w:space="0" w:color="auto"/>
            </w:tcBorders>
            <w:shd w:val="clear" w:color="auto" w:fill="auto"/>
            <w:vAlign w:val="center"/>
          </w:tcPr>
          <w:p w:rsidR="00E02F05" w:rsidRPr="00E02F05" w:rsidRDefault="00E02F05" w:rsidP="00E02F05">
            <w:pPr>
              <w:suppressAutoHyphens w:val="0"/>
              <w:ind w:right="59"/>
              <w:jc w:val="right"/>
              <w:rPr>
                <w:rFonts w:ascii="Trebuchet MS" w:eastAsia="Calibri" w:hAnsi="Trebuchet MS" w:cs="Calibri"/>
                <w:b/>
                <w:bCs/>
                <w:color w:val="000000"/>
                <w:position w:val="8"/>
                <w:sz w:val="22"/>
                <w:szCs w:val="22"/>
                <w:lang w:val="en-US"/>
              </w:rPr>
            </w:pPr>
            <w:r w:rsidRPr="00E02F05">
              <w:rPr>
                <w:rFonts w:ascii="Trebuchet MS" w:eastAsia="Calibri" w:hAnsi="Trebuchet MS" w:cs="Calibri"/>
                <w:b/>
                <w:bCs/>
                <w:color w:val="000000"/>
                <w:position w:val="8"/>
                <w:sz w:val="22"/>
                <w:szCs w:val="22"/>
                <w:lang w:val="en-US"/>
              </w:rPr>
              <w:t>785,490,851.20</w:t>
            </w:r>
          </w:p>
        </w:tc>
      </w:tr>
      <w:tr w:rsidR="00E02F05" w:rsidRPr="00E02F05" w:rsidTr="00E52B52">
        <w:trPr>
          <w:trHeight w:val="41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h</w:t>
            </w:r>
          </w:p>
        </w:tc>
        <w:tc>
          <w:tcPr>
            <w:tcW w:w="6633" w:type="dxa"/>
            <w:tcBorders>
              <w:top w:val="nil"/>
              <w:left w:val="nil"/>
              <w:bottom w:val="single" w:sz="4"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 xml:space="preserve">Profit for </w:t>
            </w:r>
            <w:r w:rsidRPr="00E02F05">
              <w:rPr>
                <w:rFonts w:ascii="Trebuchet MS" w:eastAsia="Calibri" w:hAnsi="Trebuchet MS" w:cs="Arial"/>
                <w:b/>
                <w:bCs/>
                <w:position w:val="8"/>
                <w:sz w:val="22"/>
                <w:szCs w:val="22"/>
                <w:lang w:val="en-US"/>
              </w:rPr>
              <w:t>establishing own financing sources</w:t>
            </w:r>
            <w:r w:rsidRPr="00E02F05">
              <w:rPr>
                <w:rFonts w:ascii="Trebuchet MS" w:eastAsia="Calibri" w:hAnsi="Trebuchet MS" w:cs="Arial"/>
                <w:b/>
                <w:bCs/>
                <w:color w:val="000000"/>
                <w:position w:val="8"/>
                <w:sz w:val="22"/>
                <w:szCs w:val="22"/>
                <w:lang w:val="en-US"/>
              </w:rPr>
              <w:t xml:space="preserve"> [E-f-g]</w:t>
            </w:r>
          </w:p>
        </w:tc>
        <w:tc>
          <w:tcPr>
            <w:tcW w:w="2384" w:type="dxa"/>
            <w:tcBorders>
              <w:top w:val="nil"/>
              <w:left w:val="nil"/>
              <w:bottom w:val="single" w:sz="4" w:space="0" w:color="auto"/>
              <w:right w:val="single" w:sz="8" w:space="0" w:color="auto"/>
            </w:tcBorders>
            <w:shd w:val="clear" w:color="auto" w:fill="auto"/>
            <w:vAlign w:val="center"/>
            <w:hideMark/>
          </w:tcPr>
          <w:p w:rsidR="00E02F05" w:rsidRPr="00E02F05" w:rsidRDefault="00E02F05" w:rsidP="00E02F05">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Calibri"/>
                <w:b/>
                <w:bCs/>
                <w:color w:val="000000"/>
                <w:position w:val="8"/>
                <w:sz w:val="22"/>
                <w:szCs w:val="22"/>
                <w:lang w:val="en-US"/>
              </w:rPr>
              <w:t>1,266,413,506.42</w:t>
            </w:r>
          </w:p>
        </w:tc>
      </w:tr>
      <w:tr w:rsidR="00E02F05" w:rsidRPr="00E02F05" w:rsidTr="00E52B52">
        <w:trPr>
          <w:trHeight w:val="372"/>
        </w:trPr>
        <w:tc>
          <w:tcPr>
            <w:tcW w:w="681" w:type="dxa"/>
            <w:tcBorders>
              <w:top w:val="nil"/>
              <w:left w:val="single" w:sz="8" w:space="0" w:color="auto"/>
              <w:bottom w:val="single" w:sz="8" w:space="0" w:color="auto"/>
              <w:right w:val="single" w:sz="4" w:space="0" w:color="auto"/>
            </w:tcBorders>
            <w:shd w:val="clear" w:color="auto" w:fill="auto"/>
            <w:vAlign w:val="center"/>
            <w:hideMark/>
          </w:tcPr>
          <w:p w:rsidR="00E02F05" w:rsidRPr="00E02F05" w:rsidRDefault="00E02F05" w:rsidP="00E02F05">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w:t>
            </w:r>
          </w:p>
        </w:tc>
        <w:tc>
          <w:tcPr>
            <w:tcW w:w="6633" w:type="dxa"/>
            <w:tcBorders>
              <w:top w:val="nil"/>
              <w:left w:val="nil"/>
              <w:bottom w:val="single" w:sz="8" w:space="0" w:color="auto"/>
              <w:right w:val="single" w:sz="4" w:space="0" w:color="auto"/>
            </w:tcBorders>
            <w:shd w:val="clear" w:color="auto" w:fill="auto"/>
            <w:vAlign w:val="center"/>
            <w:hideMark/>
          </w:tcPr>
          <w:p w:rsidR="00E02F05" w:rsidRPr="00E02F05" w:rsidRDefault="00E02F05" w:rsidP="00E02F05">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TOTAL DISTRIBUTIONS [a+b+c+c1+d+f+g+h]</w:t>
            </w:r>
          </w:p>
        </w:tc>
        <w:tc>
          <w:tcPr>
            <w:tcW w:w="2384" w:type="dxa"/>
            <w:tcBorders>
              <w:top w:val="nil"/>
              <w:left w:val="nil"/>
              <w:bottom w:val="single" w:sz="8" w:space="0" w:color="auto"/>
              <w:right w:val="single" w:sz="8" w:space="0" w:color="auto"/>
            </w:tcBorders>
            <w:shd w:val="clear" w:color="auto" w:fill="auto"/>
            <w:vAlign w:val="center"/>
            <w:hideMark/>
          </w:tcPr>
          <w:p w:rsidR="00E02F05" w:rsidRPr="00E02F05" w:rsidRDefault="00E02F05" w:rsidP="00E02F05">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2,649,276,775.22</w:t>
            </w:r>
          </w:p>
        </w:tc>
      </w:tr>
    </w:tbl>
    <w:p w:rsidR="00E02F05" w:rsidRPr="00E02F05" w:rsidRDefault="00E02F05" w:rsidP="00E02F05">
      <w:pPr>
        <w:shd w:val="clear" w:color="auto" w:fill="FFFFFF"/>
        <w:jc w:val="both"/>
        <w:rPr>
          <w:rFonts w:ascii="Trebuchet MS" w:eastAsia="Times New Roman"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hd w:val="clear" w:color="auto" w:fill="FFFFFF"/>
        <w:jc w:val="both"/>
        <w:rPr>
          <w:rFonts w:ascii="Trebuchet MS" w:eastAsia="Times New Roman" w:hAnsi="Trebuchet MS" w:cs="Arial"/>
          <w:i/>
          <w:noProof/>
          <w:sz w:val="22"/>
          <w:szCs w:val="22"/>
          <w:lang w:val="en-GB" w:eastAsia="ro-RO"/>
        </w:rPr>
      </w:pP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7 on the agenda:</w:t>
      </w:r>
    </w:p>
    <w:p w:rsidR="00E02F05" w:rsidRPr="00E02F05" w:rsidRDefault="00E02F05" w:rsidP="00E02F05">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w:t>
      </w:r>
    </w:p>
    <w:p w:rsidR="00E02F05" w:rsidRPr="00E02F05" w:rsidRDefault="00E02F05" w:rsidP="00E02F05">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 xml:space="preserve">Approves the gross dividend of RON </w:t>
      </w:r>
      <w:r w:rsidRPr="00E02F05">
        <w:rPr>
          <w:rFonts w:ascii="Trebuchet MS" w:eastAsia="Times New Roman" w:hAnsi="Trebuchet MS" w:cs="Calibri"/>
          <w:b/>
          <w:bCs/>
          <w:color w:val="000000"/>
          <w:sz w:val="22"/>
          <w:szCs w:val="22"/>
          <w:lang w:val="en-US"/>
        </w:rPr>
        <w:t xml:space="preserve">0.3397 </w:t>
      </w:r>
      <w:r w:rsidRPr="00E02F05">
        <w:rPr>
          <w:rFonts w:ascii="Trebuchet MS" w:hAnsi="Trebuchet MS" w:cs="Arial"/>
          <w:b/>
          <w:iCs/>
          <w:sz w:val="22"/>
          <w:szCs w:val="22"/>
          <w:lang w:val="en-GB"/>
        </w:rPr>
        <w:t>per share, distributed from the net profit achieved in 2023</w:t>
      </w:r>
      <w:r w:rsidRPr="00E02F05">
        <w:rPr>
          <w:rFonts w:ascii="Trebuchet MS" w:hAnsi="Trebuchet MS" w:cs="Arial"/>
          <w:b/>
          <w:noProof/>
          <w:sz w:val="22"/>
          <w:szCs w:val="22"/>
          <w:lang w:val="en-GB"/>
        </w:rPr>
        <w:t>”.</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uppressAutoHyphens w:val="0"/>
        <w:jc w:val="both"/>
        <w:rPr>
          <w:rFonts w:ascii="Trebuchet MS" w:hAnsi="Trebuchet MS" w:cs="Arial"/>
          <w:noProof/>
          <w:sz w:val="22"/>
          <w:szCs w:val="22"/>
          <w:lang w:val="en-GB"/>
        </w:rPr>
      </w:pPr>
    </w:p>
    <w:p w:rsidR="00E02F05" w:rsidRPr="00E02F05" w:rsidRDefault="00E02F05" w:rsidP="00E02F05">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II</w:t>
      </w:r>
    </w:p>
    <w:p w:rsidR="00E02F05" w:rsidRPr="00E02F05" w:rsidRDefault="00E02F05" w:rsidP="00E02F05">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Approves the gross dividend of RON 0.1359 per share, distributed from the net profit achieved in 2023</w:t>
      </w:r>
      <w:r w:rsidRPr="00E02F05">
        <w:rPr>
          <w:rFonts w:ascii="Trebuchet MS" w:hAnsi="Trebuchet MS" w:cs="Arial"/>
          <w:b/>
          <w:noProof/>
          <w:sz w:val="22"/>
          <w:szCs w:val="22"/>
          <w:lang w:val="en-GB"/>
        </w:rPr>
        <w:t>”.</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8 on the agenda:</w:t>
      </w:r>
    </w:p>
    <w:p w:rsidR="00E02F05" w:rsidRPr="00E02F05" w:rsidRDefault="00E02F05" w:rsidP="00E02F05">
      <w:pPr>
        <w:shd w:val="clear" w:color="auto" w:fill="FFFFFF"/>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w:t>
      </w:r>
    </w:p>
    <w:p w:rsidR="00E02F05" w:rsidRPr="00E02F05" w:rsidRDefault="00E02F05" w:rsidP="00E02F05">
      <w:pPr>
        <w:ind w:right="22"/>
        <w:jc w:val="both"/>
        <w:rPr>
          <w:rFonts w:ascii="Trebuchet MS" w:hAnsi="Trebuchet MS" w:cs="Arial"/>
          <w:b/>
          <w:iCs/>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Approves the distribution of retained earnings representing the value of fixed asset depreciation and fixed assets and investment projects abandoned during the reporting year financed from the “expenditure quota required for development and modernization of natural gas production” in accordance with GO no. 168/1998, as subsequently amended and supplemented, as follows:</w:t>
      </w:r>
    </w:p>
    <w:p w:rsidR="00E02F05" w:rsidRPr="00E02F05" w:rsidRDefault="00E02F05" w:rsidP="00E02F05">
      <w:pPr>
        <w:ind w:right="22"/>
        <w:jc w:val="both"/>
        <w:rPr>
          <w:rFonts w:ascii="Trebuchet MS" w:hAnsi="Trebuchet MS" w:cs="Arial"/>
          <w:b/>
          <w:iCs/>
          <w:sz w:val="22"/>
          <w:szCs w:val="22"/>
          <w:lang w:val="en-GB"/>
        </w:rPr>
      </w:pPr>
    </w:p>
    <w:p w:rsidR="00E02F05" w:rsidRPr="00E02F05" w:rsidRDefault="00E02F05" w:rsidP="00E02F05">
      <w:pPr>
        <w:numPr>
          <w:ilvl w:val="0"/>
          <w:numId w:val="11"/>
        </w:numPr>
        <w:ind w:right="22"/>
        <w:contextualSpacing/>
        <w:jc w:val="both"/>
        <w:rPr>
          <w:rFonts w:ascii="Trebuchet MS" w:hAnsi="Trebuchet MS" w:cs="Arial"/>
          <w:b/>
          <w:iCs/>
          <w:sz w:val="22"/>
          <w:szCs w:val="22"/>
          <w:lang w:val="en-GB"/>
        </w:rPr>
      </w:pPr>
      <w:r w:rsidRPr="00E02F05">
        <w:rPr>
          <w:rFonts w:ascii="Trebuchet MS" w:hAnsi="Trebuchet MS" w:cs="Arial"/>
          <w:b/>
          <w:iCs/>
          <w:sz w:val="22"/>
          <w:szCs w:val="22"/>
          <w:lang w:val="en-GB"/>
        </w:rPr>
        <w:t>RON 63,209,273.60 as dividends, representing approximately 50.30% of the total value, the dividend/share being RON 0.0164;</w:t>
      </w:r>
    </w:p>
    <w:p w:rsidR="00E02F05" w:rsidRPr="00E02F05" w:rsidRDefault="00E02F05" w:rsidP="00E02F05">
      <w:pPr>
        <w:numPr>
          <w:ilvl w:val="0"/>
          <w:numId w:val="11"/>
        </w:numPr>
        <w:ind w:right="22"/>
        <w:contextualSpacing/>
        <w:jc w:val="both"/>
        <w:rPr>
          <w:rFonts w:ascii="Trebuchet MS" w:hAnsi="Trebuchet MS" w:cs="Arial"/>
          <w:b/>
          <w:iCs/>
          <w:sz w:val="22"/>
          <w:szCs w:val="22"/>
          <w:lang w:val="en-GB"/>
        </w:rPr>
      </w:pPr>
      <w:r w:rsidRPr="00E02F05">
        <w:rPr>
          <w:rFonts w:ascii="Trebuchet MS" w:hAnsi="Trebuchet MS" w:cs="Arial"/>
          <w:b/>
          <w:iCs/>
          <w:sz w:val="22"/>
          <w:szCs w:val="22"/>
          <w:lang w:val="en-GB"/>
        </w:rPr>
        <w:t>RON 62,453,768.78 for own financing sources</w:t>
      </w:r>
      <w:r w:rsidRPr="00E02F05">
        <w:rPr>
          <w:rFonts w:ascii="Trebuchet MS" w:hAnsi="Trebuchet MS" w:cs="Arial"/>
          <w:b/>
          <w:noProof/>
          <w:sz w:val="22"/>
          <w:szCs w:val="22"/>
          <w:lang w:val="en-GB"/>
        </w:rPr>
        <w:t>”.</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hd w:val="clear" w:color="auto" w:fill="FFFFFF"/>
        <w:jc w:val="both"/>
        <w:rPr>
          <w:rFonts w:ascii="Trebuchet MS" w:eastAsia="Times New Roman" w:hAnsi="Trebuchet MS" w:cs="Arial"/>
          <w:i/>
          <w:noProof/>
          <w:sz w:val="22"/>
          <w:szCs w:val="22"/>
          <w:lang w:val="en-GB" w:eastAsia="ro-RO"/>
        </w:rPr>
      </w:pPr>
    </w:p>
    <w:p w:rsidR="00E02F05" w:rsidRPr="00E02F05" w:rsidRDefault="00E02F05" w:rsidP="00E02F05">
      <w:pPr>
        <w:shd w:val="clear" w:color="auto" w:fill="FFFFFF"/>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II</w:t>
      </w:r>
    </w:p>
    <w:p w:rsidR="00E02F05" w:rsidRPr="00E02F05" w:rsidRDefault="00E02F05" w:rsidP="00E02F05">
      <w:pPr>
        <w:ind w:right="22"/>
        <w:jc w:val="both"/>
        <w:rPr>
          <w:rFonts w:ascii="Trebuchet MS" w:hAnsi="Trebuchet MS" w:cs="Arial"/>
          <w:b/>
          <w:iCs/>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Approves the distribution of retained earnings representing the value of fixed asset depreciation and fixed assets and investment projects abandoned during the reporting year financed from the “expenditure quota required for development and modernization of natural gas production” in accordance with GO no. 168/1998, as subsequently amended and supplemented, as follows:</w:t>
      </w:r>
    </w:p>
    <w:p w:rsidR="00E02F05" w:rsidRPr="00E02F05" w:rsidRDefault="00E02F05" w:rsidP="00E02F05">
      <w:pPr>
        <w:ind w:right="22"/>
        <w:jc w:val="both"/>
        <w:rPr>
          <w:rFonts w:ascii="Trebuchet MS" w:hAnsi="Trebuchet MS" w:cs="Arial"/>
          <w:b/>
          <w:iCs/>
          <w:sz w:val="22"/>
          <w:szCs w:val="22"/>
          <w:lang w:val="en-GB"/>
        </w:rPr>
      </w:pPr>
    </w:p>
    <w:p w:rsidR="00E02F05" w:rsidRPr="00E02F05" w:rsidRDefault="00E02F05" w:rsidP="00E02F05">
      <w:pPr>
        <w:numPr>
          <w:ilvl w:val="0"/>
          <w:numId w:val="10"/>
        </w:numPr>
        <w:ind w:right="22"/>
        <w:contextualSpacing/>
        <w:jc w:val="both"/>
        <w:rPr>
          <w:rFonts w:ascii="Trebuchet MS" w:hAnsi="Trebuchet MS" w:cs="Arial"/>
          <w:b/>
          <w:iCs/>
          <w:sz w:val="22"/>
          <w:szCs w:val="22"/>
          <w:lang w:val="en-GB"/>
        </w:rPr>
      </w:pPr>
      <w:r w:rsidRPr="00E02F05">
        <w:rPr>
          <w:rFonts w:ascii="Trebuchet MS" w:hAnsi="Trebuchet MS" w:cs="Arial"/>
          <w:b/>
          <w:iCs/>
          <w:sz w:val="22"/>
          <w:szCs w:val="22"/>
          <w:lang w:val="en-GB"/>
        </w:rPr>
        <w:t>RON 25,437,878.40 as dividends, representing approximately 20.24% of the total value, the dividend/share being RON 0.0066;</w:t>
      </w:r>
    </w:p>
    <w:p w:rsidR="00E02F05" w:rsidRPr="00E02F05" w:rsidRDefault="00E02F05" w:rsidP="00E02F05">
      <w:pPr>
        <w:numPr>
          <w:ilvl w:val="0"/>
          <w:numId w:val="10"/>
        </w:numPr>
        <w:ind w:right="22"/>
        <w:contextualSpacing/>
        <w:jc w:val="both"/>
        <w:rPr>
          <w:rFonts w:ascii="Trebuchet MS" w:hAnsi="Trebuchet MS" w:cs="Arial"/>
          <w:b/>
          <w:iCs/>
          <w:sz w:val="22"/>
          <w:szCs w:val="22"/>
          <w:lang w:val="en-GB"/>
        </w:rPr>
      </w:pPr>
      <w:r w:rsidRPr="00E02F05">
        <w:rPr>
          <w:rFonts w:ascii="Trebuchet MS" w:hAnsi="Trebuchet MS" w:cs="Arial"/>
          <w:b/>
          <w:iCs/>
          <w:sz w:val="22"/>
          <w:szCs w:val="22"/>
          <w:lang w:val="en-GB"/>
        </w:rPr>
        <w:t>RON 62,453,768.78 for own financing sources;</w:t>
      </w:r>
    </w:p>
    <w:p w:rsidR="00E02F05" w:rsidRPr="00E02F05" w:rsidRDefault="00E02F05" w:rsidP="00E02F05">
      <w:pPr>
        <w:numPr>
          <w:ilvl w:val="0"/>
          <w:numId w:val="10"/>
        </w:numPr>
        <w:ind w:right="22"/>
        <w:contextualSpacing/>
        <w:jc w:val="both"/>
        <w:rPr>
          <w:rFonts w:ascii="Trebuchet MS" w:hAnsi="Trebuchet MS" w:cs="Arial"/>
          <w:b/>
          <w:iCs/>
          <w:sz w:val="22"/>
          <w:szCs w:val="22"/>
          <w:lang w:val="en-GB"/>
        </w:rPr>
      </w:pPr>
      <w:r w:rsidRPr="00E02F05">
        <w:rPr>
          <w:rFonts w:ascii="Trebuchet MS" w:hAnsi="Trebuchet MS" w:cs="Arial"/>
          <w:b/>
          <w:iCs/>
          <w:sz w:val="22"/>
          <w:szCs w:val="22"/>
          <w:lang w:val="en-GB"/>
        </w:rPr>
        <w:t>RON 37,771,395.20 for establishing reserves used to finance major investment projects or of national interest or to finance subsidiaries involved in such projects</w:t>
      </w:r>
      <w:r w:rsidRPr="00E02F05">
        <w:rPr>
          <w:rFonts w:ascii="Trebuchet MS" w:hAnsi="Trebuchet MS" w:cs="Arial"/>
          <w:b/>
          <w:noProof/>
          <w:sz w:val="22"/>
          <w:szCs w:val="22"/>
          <w:lang w:val="en-GB"/>
        </w:rPr>
        <w:t>”.</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lastRenderedPageBreak/>
        <w:t>The draft resolution for item 9 on the agenda:</w:t>
      </w:r>
    </w:p>
    <w:p w:rsidR="00E02F05" w:rsidRPr="00E02F05" w:rsidRDefault="00E02F05" w:rsidP="00E02F05">
      <w:pPr>
        <w:shd w:val="clear" w:color="auto" w:fill="FFFFFF"/>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w:t>
      </w:r>
    </w:p>
    <w:p w:rsidR="00E02F05" w:rsidRPr="00E02F05" w:rsidRDefault="00E02F05" w:rsidP="00E02F05">
      <w:pPr>
        <w:jc w:val="both"/>
        <w:rPr>
          <w:rFonts w:ascii="Trebuchet MS" w:hAnsi="Trebuchet MS" w:cs="Arial"/>
          <w:b/>
          <w:iCs/>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Approves the gross dividend of RON 0.0164 per share, distributed from retained earnings</w:t>
      </w:r>
      <w:r w:rsidRPr="00E02F05">
        <w:rPr>
          <w:rFonts w:ascii="Trebuchet MS" w:hAnsi="Trebuchet MS" w:cs="Arial"/>
          <w:b/>
          <w:noProof/>
          <w:sz w:val="22"/>
          <w:szCs w:val="22"/>
          <w:lang w:val="en-GB"/>
        </w:rPr>
        <w:t>”.</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uppressAutoHyphens w:val="0"/>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II</w:t>
      </w:r>
    </w:p>
    <w:p w:rsidR="00E02F05" w:rsidRPr="00E02F05" w:rsidRDefault="00E02F05" w:rsidP="00E02F05">
      <w:pPr>
        <w:jc w:val="both"/>
        <w:rPr>
          <w:rFonts w:ascii="Trebuchet MS" w:hAnsi="Trebuchet MS" w:cs="Arial"/>
          <w:b/>
          <w:iCs/>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Approves the gross dividend of RON 0.0066 per share, distributed from retained earnings</w:t>
      </w:r>
      <w:r w:rsidRPr="00E02F05">
        <w:rPr>
          <w:rFonts w:ascii="Trebuchet MS" w:hAnsi="Trebuchet MS" w:cs="Arial"/>
          <w:b/>
          <w:noProof/>
          <w:sz w:val="22"/>
          <w:szCs w:val="22"/>
          <w:lang w:val="en-GB"/>
        </w:rPr>
        <w:t>”.</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10 on the agenda:</w:t>
      </w:r>
    </w:p>
    <w:p w:rsidR="00E02F05" w:rsidRPr="00E02F05" w:rsidRDefault="00E02F05" w:rsidP="00E02F05">
      <w:pPr>
        <w:shd w:val="clear" w:color="auto" w:fill="FFFFFF"/>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w:t>
      </w:r>
    </w:p>
    <w:p w:rsidR="00E02F05" w:rsidRPr="00E02F05" w:rsidRDefault="00E02F05" w:rsidP="00E02F05">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Approves the total gross dividend per share in amount of RON 0.3561, out of which RON 0.3397 per share related to the 2023 result and RON 0.0164 per share related to retained earnings</w:t>
      </w:r>
      <w:r w:rsidRPr="00E02F05">
        <w:rPr>
          <w:rFonts w:ascii="Trebuchet MS" w:hAnsi="Trebuchet MS" w:cs="Arial"/>
          <w:b/>
          <w:noProof/>
          <w:sz w:val="22"/>
          <w:szCs w:val="22"/>
          <w:lang w:val="en-GB"/>
        </w:rPr>
        <w:t>”.</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uppressAutoHyphens w:val="0"/>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II</w:t>
      </w:r>
    </w:p>
    <w:p w:rsidR="00E02F05" w:rsidRPr="00E02F05" w:rsidRDefault="00E02F05" w:rsidP="00E02F05">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Approves the total gross dividend per share in amount of RON 0.1425, out of which RON 0.1359 per share related to the 2023 result and RON 0.0066 per share related to retained earnings</w:t>
      </w:r>
      <w:r w:rsidRPr="00E02F05">
        <w:rPr>
          <w:rFonts w:ascii="Trebuchet MS" w:hAnsi="Trebuchet MS" w:cs="Arial"/>
          <w:b/>
          <w:noProof/>
          <w:sz w:val="22"/>
          <w:szCs w:val="22"/>
          <w:lang w:val="en-GB"/>
        </w:rPr>
        <w:t>”.</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11 on the agenda:</w:t>
      </w:r>
    </w:p>
    <w:p w:rsidR="00E02F05" w:rsidRPr="00E02F05" w:rsidRDefault="00E02F05" w:rsidP="00E02F05">
      <w:pPr>
        <w:jc w:val="both"/>
        <w:rPr>
          <w:rFonts w:ascii="Trebuchet MS" w:hAnsi="Trebuchet MS" w:cs="Arial"/>
          <w:b/>
          <w:iCs/>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Establishes July 26, 2024 as Payment Day, for payment of dividends due to shareholders</w:t>
      </w:r>
      <w:r w:rsidRPr="00E02F05">
        <w:rPr>
          <w:rFonts w:ascii="Trebuchet MS" w:hAnsi="Trebuchet MS" w:cs="Arial"/>
          <w:b/>
          <w:noProof/>
          <w:sz w:val="22"/>
          <w:szCs w:val="22"/>
          <w:lang w:val="en-GB"/>
        </w:rPr>
        <w:t>”.</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pacing w:before="240"/>
        <w:jc w:val="both"/>
        <w:rPr>
          <w:rFonts w:ascii="Trebuchet MS" w:eastAsia="Times New Roman" w:hAnsi="Trebuchet MS" w:cs="Arial"/>
          <w:i/>
          <w:noProof/>
          <w:sz w:val="22"/>
          <w:szCs w:val="22"/>
          <w:lang w:val="en-GB" w:eastAsia="ro-RO"/>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12 on the agenda:</w:t>
      </w:r>
    </w:p>
    <w:p w:rsidR="00E02F05" w:rsidRPr="00E02F05" w:rsidRDefault="00E02F05" w:rsidP="00E02F05">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Approves the employees’ participation in profit, in accordance with the provisions of Government Ordinance no. 64/2001, in amount of RON 42,364,442.00</w:t>
      </w:r>
      <w:r w:rsidRPr="00E02F05">
        <w:rPr>
          <w:rFonts w:ascii="Trebuchet MS" w:hAnsi="Trebuchet MS" w:cs="Arial"/>
          <w:b/>
          <w:noProof/>
          <w:sz w:val="22"/>
          <w:szCs w:val="22"/>
          <w:lang w:val="en-GB"/>
        </w:rPr>
        <w:t>”.</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pacing w:before="240"/>
        <w:jc w:val="both"/>
        <w:rPr>
          <w:rFonts w:ascii="Trebuchet MS" w:eastAsia="Times New Roman" w:hAnsi="Trebuchet MS" w:cs="Arial"/>
          <w:i/>
          <w:noProof/>
          <w:sz w:val="22"/>
          <w:szCs w:val="22"/>
          <w:lang w:val="en-GB" w:eastAsia="ro-RO"/>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13 on the agenda:</w:t>
      </w:r>
    </w:p>
    <w:p w:rsidR="00E02F05" w:rsidRPr="00E02F05" w:rsidRDefault="00E02F05" w:rsidP="00E02F05">
      <w:pPr>
        <w:ind w:right="9"/>
        <w:jc w:val="both"/>
        <w:rPr>
          <w:rFonts w:ascii="Trebuchet MS" w:hAnsi="Trebuchet MS" w:cs="Arial"/>
          <w:b/>
          <w:noProof/>
          <w:sz w:val="22"/>
          <w:szCs w:val="22"/>
          <w:lang w:val="en-GB"/>
        </w:rPr>
      </w:pPr>
      <w:r w:rsidRPr="00E02F05">
        <w:rPr>
          <w:rFonts w:ascii="Trebuchet MS" w:hAnsi="Trebuchet MS" w:cs="Arial"/>
          <w:b/>
          <w:noProof/>
          <w:sz w:val="22"/>
          <w:szCs w:val="22"/>
          <w:lang w:val="en-GB"/>
        </w:rPr>
        <w:t>„Takes note of the 2023 Annual Report of the Nomination and Remuneration Committee on the remuneration benefits and/or other advantages granted to the Members of the Board and Officers of S.N.G.N. ROMGAZ S.A.”.</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hd w:val="clear" w:color="auto" w:fill="FFFFFF"/>
        <w:jc w:val="both"/>
        <w:rPr>
          <w:rFonts w:ascii="Trebuchet MS" w:eastAsia="Times New Roman" w:hAnsi="Trebuchet MS" w:cs="Arial"/>
          <w:i/>
          <w:noProof/>
          <w:sz w:val="22"/>
          <w:szCs w:val="22"/>
          <w:lang w:val="en-GB" w:eastAsia="ro-RO"/>
        </w:rPr>
      </w:pP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14 on the agenda:</w:t>
      </w:r>
    </w:p>
    <w:p w:rsidR="00E02F05" w:rsidRPr="00E02F05" w:rsidRDefault="00E02F05" w:rsidP="00E02F05">
      <w:pPr>
        <w:suppressAutoHyphens w:val="0"/>
        <w:jc w:val="both"/>
        <w:rPr>
          <w:rFonts w:ascii="Trebuchet MS" w:hAnsi="Trebuchet MS" w:cs="Arial"/>
          <w:b/>
          <w:sz w:val="22"/>
          <w:szCs w:val="22"/>
          <w:lang w:val="en-GB"/>
        </w:rPr>
      </w:pPr>
      <w:r w:rsidRPr="00E02F05">
        <w:rPr>
          <w:rFonts w:ascii="Trebuchet MS" w:hAnsi="Trebuchet MS" w:cs="Arial"/>
          <w:b/>
          <w:noProof/>
          <w:sz w:val="22"/>
          <w:szCs w:val="22"/>
          <w:lang w:val="en-GB"/>
        </w:rPr>
        <w:t>„Approves the budgetary discharge of the Board members for the financial year 2023”.</w:t>
      </w:r>
    </w:p>
    <w:p w:rsidR="00E02F05" w:rsidRPr="00E02F05" w:rsidRDefault="00E02F05" w:rsidP="00E02F05">
      <w:pPr>
        <w:suppressAutoHyphens w:val="0"/>
        <w:jc w:val="both"/>
        <w:rPr>
          <w:rFonts w:ascii="Trebuchet MS" w:hAnsi="Trebuchet MS" w:cs="Arial"/>
          <w:noProof/>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Default="00E02F05" w:rsidP="00E02F05">
      <w:pPr>
        <w:shd w:val="clear" w:color="auto" w:fill="FFFFFF"/>
        <w:jc w:val="both"/>
        <w:rPr>
          <w:rFonts w:ascii="Trebuchet MS" w:eastAsia="Times New Roman" w:hAnsi="Trebuchet MS" w:cs="Arial"/>
          <w:i/>
          <w:noProof/>
          <w:sz w:val="22"/>
          <w:szCs w:val="22"/>
          <w:lang w:val="en-GB" w:eastAsia="ro-RO"/>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lastRenderedPageBreak/>
        <w:t>The draft resolution for item 15 on the agenda:</w:t>
      </w:r>
    </w:p>
    <w:p w:rsidR="00E02F05" w:rsidRPr="00E02F05" w:rsidRDefault="00E02F05" w:rsidP="00E02F05">
      <w:pPr>
        <w:shd w:val="clear" w:color="auto" w:fill="FFFFFF"/>
        <w:rPr>
          <w:rFonts w:ascii="Trebuchet MS" w:eastAsia="Times New Roman" w:hAnsi="Trebuchet MS" w:cs="Arial"/>
          <w:b/>
          <w:sz w:val="22"/>
          <w:szCs w:val="22"/>
          <w:lang w:val="en-GB" w:eastAsia="ro-RO"/>
        </w:rPr>
      </w:pPr>
      <w:r w:rsidRPr="00E02F05">
        <w:rPr>
          <w:rFonts w:ascii="Trebuchet MS" w:hAnsi="Trebuchet MS" w:cs="Arial"/>
          <w:b/>
          <w:noProof/>
          <w:sz w:val="22"/>
          <w:szCs w:val="22"/>
          <w:lang w:val="en-GB"/>
        </w:rPr>
        <w:t>„</w:t>
      </w:r>
      <w:r w:rsidRPr="00E02F05">
        <w:rPr>
          <w:rFonts w:ascii="Trebuchet MS" w:eastAsia="Times New Roman" w:hAnsi="Trebuchet MS" w:cs="Arial"/>
          <w:b/>
          <w:sz w:val="22"/>
          <w:szCs w:val="22"/>
          <w:lang w:val="en-GB" w:eastAsia="ro-RO"/>
        </w:rPr>
        <w:t>Takes note of the Report on payments made to governments in 2023</w:t>
      </w:r>
      <w:r w:rsidRPr="00E02F05">
        <w:rPr>
          <w:rFonts w:ascii="Trebuchet MS" w:hAnsi="Trebuchet MS" w:cs="Arial"/>
          <w:b/>
          <w:noProof/>
          <w:sz w:val="22"/>
          <w:szCs w:val="22"/>
          <w:lang w:val="en-GB"/>
        </w:rPr>
        <w:t>”.</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pacing w:before="240"/>
        <w:jc w:val="both"/>
        <w:rPr>
          <w:rFonts w:ascii="Trebuchet MS" w:eastAsia="Times New Roman" w:hAnsi="Trebuchet MS" w:cs="Arial"/>
          <w:i/>
          <w:noProof/>
          <w:sz w:val="22"/>
          <w:szCs w:val="22"/>
          <w:lang w:val="en-GB" w:eastAsia="ro-RO"/>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17 on the agenda:</w:t>
      </w:r>
    </w:p>
    <w:p w:rsidR="00E02F05" w:rsidRPr="00E02F05" w:rsidRDefault="00E02F05" w:rsidP="00E02F05">
      <w:pPr>
        <w:shd w:val="clear" w:color="auto" w:fill="FFFFFF"/>
        <w:jc w:val="both"/>
        <w:rPr>
          <w:rFonts w:ascii="Trebuchet MS" w:eastAsia="Times New Roman" w:hAnsi="Trebuchet MS" w:cs="Arial"/>
          <w:b/>
          <w:sz w:val="22"/>
          <w:szCs w:val="22"/>
          <w:lang w:val="en-GB" w:eastAsia="ro-RO"/>
        </w:rPr>
      </w:pPr>
      <w:r w:rsidRPr="00E02F05">
        <w:rPr>
          <w:rFonts w:ascii="Trebuchet MS" w:hAnsi="Trebuchet MS" w:cs="Arial"/>
          <w:b/>
          <w:noProof/>
          <w:sz w:val="22"/>
          <w:szCs w:val="22"/>
          <w:lang w:val="en-GB"/>
        </w:rPr>
        <w:t>„</w:t>
      </w:r>
      <w:r w:rsidRPr="00E02F05">
        <w:rPr>
          <w:rFonts w:ascii="Trebuchet MS" w:eastAsia="Times New Roman" w:hAnsi="Trebuchet MS" w:cs="Arial"/>
          <w:b/>
          <w:sz w:val="22"/>
          <w:szCs w:val="22"/>
          <w:lang w:val="en-GB" w:eastAsia="ro-RO"/>
        </w:rPr>
        <w:t>Sets the minimum term for the financial audit contract to three years for providing specific services for years 2024, 2025 and 2026</w:t>
      </w:r>
      <w:r w:rsidRPr="00E02F05">
        <w:rPr>
          <w:rFonts w:ascii="Trebuchet MS" w:hAnsi="Trebuchet MS" w:cs="Arial"/>
          <w:b/>
          <w:noProof/>
          <w:sz w:val="22"/>
          <w:szCs w:val="22"/>
          <w:lang w:val="en-GB"/>
        </w:rPr>
        <w:t>”.</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18 on the agenda:</w:t>
      </w:r>
    </w:p>
    <w:p w:rsidR="00E02F05" w:rsidRPr="00E02F05" w:rsidRDefault="00E02F05" w:rsidP="00251DFD">
      <w:pPr>
        <w:shd w:val="clear" w:color="auto" w:fill="FFFFFF"/>
        <w:jc w:val="both"/>
        <w:rPr>
          <w:rFonts w:ascii="Trebuchet MS" w:eastAsia="Times New Roman" w:hAnsi="Trebuchet MS" w:cs="Arial"/>
          <w:b/>
          <w:noProof/>
          <w:sz w:val="22"/>
          <w:szCs w:val="22"/>
          <w:lang w:val="en-US" w:eastAsia="ro-RO"/>
        </w:rPr>
      </w:pPr>
      <w:bookmarkStart w:id="0" w:name="_GoBack"/>
      <w:r w:rsidRPr="00E02F05">
        <w:rPr>
          <w:rFonts w:ascii="Trebuchet MS" w:hAnsi="Trebuchet MS" w:cs="Arial"/>
          <w:b/>
          <w:noProof/>
          <w:sz w:val="22"/>
          <w:szCs w:val="22"/>
          <w:lang w:val="en-US"/>
        </w:rPr>
        <w:t>„</w:t>
      </w:r>
      <w:r w:rsidRPr="00E02F05">
        <w:rPr>
          <w:rFonts w:ascii="Trebuchet MS" w:eastAsia="Times New Roman" w:hAnsi="Trebuchet MS" w:cs="Arial"/>
          <w:b/>
          <w:noProof/>
          <w:sz w:val="22"/>
          <w:szCs w:val="22"/>
          <w:lang w:val="en-US" w:eastAsia="ro-RO"/>
        </w:rPr>
        <w:t>Takes note of the conclusion of a Natural Gas Sales Contract between S.N.G.N. ROMGAZ S.A. and Societatea Electrocentrale Bucuresti S.A. in March 2024</w:t>
      </w:r>
      <w:r w:rsidRPr="00E02F05">
        <w:rPr>
          <w:rFonts w:ascii="Trebuchet MS" w:hAnsi="Trebuchet MS" w:cs="Arial"/>
          <w:b/>
          <w:noProof/>
          <w:sz w:val="22"/>
          <w:szCs w:val="22"/>
          <w:lang w:val="en-US"/>
        </w:rPr>
        <w:t>”.</w:t>
      </w:r>
    </w:p>
    <w:bookmarkEnd w:id="0"/>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19 on the agenda:</w:t>
      </w:r>
    </w:p>
    <w:p w:rsidR="00E02F05" w:rsidRPr="00E02F05" w:rsidRDefault="00E02F05" w:rsidP="00E02F05">
      <w:pPr>
        <w:shd w:val="clear" w:color="auto" w:fill="FFFFFF"/>
        <w:rPr>
          <w:rFonts w:ascii="Trebuchet MS" w:eastAsia="Times New Roman" w:hAnsi="Trebuchet MS" w:cs="Arial"/>
          <w:b/>
          <w:sz w:val="22"/>
          <w:szCs w:val="22"/>
          <w:lang w:val="en-GB" w:eastAsia="ro-RO"/>
        </w:rPr>
      </w:pPr>
      <w:r w:rsidRPr="00E02F05">
        <w:rPr>
          <w:rFonts w:ascii="Trebuchet MS" w:hAnsi="Trebuchet MS" w:cs="Arial"/>
          <w:b/>
          <w:noProof/>
          <w:sz w:val="22"/>
          <w:szCs w:val="22"/>
          <w:lang w:val="en-GB"/>
        </w:rPr>
        <w:t>„</w:t>
      </w:r>
      <w:r w:rsidRPr="00E02F05">
        <w:rPr>
          <w:rFonts w:ascii="Trebuchet MS" w:eastAsia="Times New Roman" w:hAnsi="Trebuchet MS" w:cs="Arial"/>
          <w:b/>
          <w:sz w:val="22"/>
          <w:szCs w:val="22"/>
          <w:lang w:val="en-GB" w:eastAsia="ro-RO"/>
        </w:rPr>
        <w:t>Takes note of the Report on certain transactions concluded between S.N.G.N. ROMGAZ S.A. and other public companies during February 2024</w:t>
      </w:r>
      <w:r w:rsidRPr="00E02F05">
        <w:rPr>
          <w:rFonts w:ascii="Trebuchet MS" w:hAnsi="Trebuchet MS" w:cs="Arial"/>
          <w:b/>
          <w:noProof/>
          <w:sz w:val="22"/>
          <w:szCs w:val="22"/>
          <w:lang w:val="en-GB"/>
        </w:rPr>
        <w:t>”.</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20 on the agenda:</w:t>
      </w:r>
    </w:p>
    <w:p w:rsidR="00E02F05" w:rsidRPr="00E02F05" w:rsidRDefault="00E02F05" w:rsidP="00E02F05">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Establishes July 5, 2024 as the Record Date, that is the date to determine the shareholders eligible to receive dividends or other rights and who are affected by the Resolutions of the Ordinary General Meeting of Shareholders</w:t>
      </w:r>
      <w:r w:rsidRPr="00E02F05">
        <w:rPr>
          <w:rFonts w:ascii="Trebuchet MS" w:hAnsi="Trebuchet MS" w:cs="Arial"/>
          <w:b/>
          <w:noProof/>
          <w:sz w:val="22"/>
          <w:szCs w:val="22"/>
          <w:lang w:val="en-GB"/>
        </w:rPr>
        <w:t>”.</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pacing w:before="240"/>
        <w:jc w:val="both"/>
        <w:rPr>
          <w:rFonts w:ascii="Trebuchet MS" w:eastAsia="Times New Roman" w:hAnsi="Trebuchet MS" w:cs="Arial"/>
          <w:i/>
          <w:noProof/>
          <w:sz w:val="22"/>
          <w:szCs w:val="22"/>
          <w:lang w:val="en-GB" w:eastAsia="ro-RO"/>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21 on the agenda:</w:t>
      </w:r>
    </w:p>
    <w:p w:rsidR="00E02F05" w:rsidRPr="00E02F05" w:rsidRDefault="00E02F05" w:rsidP="00E02F05">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Establishes July 4, 2024 as Ex-Date representing the date falling one settlement cycle minus one business day before the Record Date, as of which the financial instruments provided under the corporate bodies’ resolutions are traded without the rights resulting from such resolution</w:t>
      </w:r>
      <w:r w:rsidRPr="00E02F05">
        <w:rPr>
          <w:rFonts w:ascii="Trebuchet MS" w:hAnsi="Trebuchet MS" w:cs="Arial"/>
          <w:b/>
          <w:noProof/>
          <w:sz w:val="22"/>
          <w:szCs w:val="22"/>
          <w:lang w:val="en-GB"/>
        </w:rPr>
        <w:t>”.</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02F05" w:rsidRPr="00E02F05" w:rsidRDefault="00E02F05" w:rsidP="00E02F05">
      <w:pPr>
        <w:spacing w:before="240"/>
        <w:jc w:val="both"/>
        <w:rPr>
          <w:rFonts w:ascii="Trebuchet MS" w:eastAsia="Times New Roman" w:hAnsi="Trebuchet MS" w:cs="Arial"/>
          <w:i/>
          <w:noProof/>
          <w:sz w:val="22"/>
          <w:szCs w:val="22"/>
          <w:lang w:val="en-GB" w:eastAsia="ro-RO"/>
        </w:rPr>
      </w:pPr>
    </w:p>
    <w:p w:rsidR="00E02F05" w:rsidRPr="00E02F05" w:rsidRDefault="00E02F05" w:rsidP="00E02F05">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22 on the agenda:</w:t>
      </w:r>
    </w:p>
    <w:p w:rsidR="00E02F05" w:rsidRPr="00E02F05" w:rsidRDefault="00E02F05" w:rsidP="00E02F05">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Authorises the Chairman and the Secretary of the meeting to sign the resolution of the Ordinary General Meeting of Shareholders</w:t>
      </w:r>
      <w:r w:rsidRPr="00E02F05">
        <w:rPr>
          <w:rFonts w:ascii="Trebuchet MS" w:hAnsi="Trebuchet MS" w:cs="Arial"/>
          <w:b/>
          <w:noProof/>
          <w:sz w:val="22"/>
          <w:szCs w:val="22"/>
          <w:lang w:val="en-GB"/>
        </w:rPr>
        <w:t>”.</w:t>
      </w:r>
    </w:p>
    <w:p w:rsidR="00E02F05" w:rsidRPr="00E02F05" w:rsidRDefault="00E02F05" w:rsidP="00E02F05">
      <w:pPr>
        <w:ind w:right="9"/>
        <w:jc w:val="both"/>
        <w:rPr>
          <w:rFonts w:ascii="Trebuchet MS" w:hAnsi="Trebuchet MS" w:cs="Arial"/>
          <w:b/>
          <w:sz w:val="22"/>
          <w:szCs w:val="22"/>
          <w:lang w:val="en-GB"/>
        </w:rPr>
      </w:pPr>
    </w:p>
    <w:p w:rsidR="00E02F05" w:rsidRPr="00E02F05" w:rsidRDefault="00E02F05" w:rsidP="00E02F05">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A906C1" w:rsidRDefault="00A906C1" w:rsidP="00D14478">
      <w:pPr>
        <w:spacing w:before="240"/>
        <w:rPr>
          <w:rFonts w:ascii="Trebuchet MS" w:hAnsi="Trebuchet MS" w:cs="Arial"/>
          <w:noProof/>
          <w:sz w:val="22"/>
          <w:szCs w:val="22"/>
          <w:lang w:val="en-GB"/>
        </w:rPr>
      </w:pPr>
    </w:p>
    <w:p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D14478" w:rsidRPr="001D116A" w:rsidRDefault="00D14478" w:rsidP="00D14478">
      <w:pPr>
        <w:jc w:val="both"/>
        <w:rPr>
          <w:rFonts w:ascii="Trebuchet MS" w:hAnsi="Trebuchet MS" w:cs="Arial"/>
          <w:noProof/>
          <w:sz w:val="22"/>
          <w:szCs w:val="22"/>
          <w:lang w:val="en-GB" w:eastAsia="ro-RO"/>
        </w:rPr>
      </w:pP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lastRenderedPageBreak/>
        <w:t xml:space="preserve">is also valid for the second convening of the same OGMS on </w:t>
      </w:r>
      <w:r w:rsidR="00CF264B">
        <w:rPr>
          <w:rFonts w:ascii="Trebuchet MS" w:hAnsi="Trebuchet MS" w:cs="Arial"/>
          <w:b/>
          <w:noProof/>
          <w:sz w:val="22"/>
          <w:szCs w:val="22"/>
          <w:lang w:val="en-GB"/>
        </w:rPr>
        <w:t>April 26</w:t>
      </w:r>
      <w:r w:rsidR="004B5DBF">
        <w:rPr>
          <w:rFonts w:ascii="Trebuchet MS" w:hAnsi="Trebuchet MS" w:cs="Arial"/>
          <w:b/>
          <w:noProof/>
          <w:sz w:val="22"/>
          <w:szCs w:val="22"/>
          <w:lang w:val="en-GB"/>
        </w:rPr>
        <w:t>,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CF264B">
        <w:rPr>
          <w:rFonts w:ascii="Trebuchet MS" w:hAnsi="Trebuchet MS" w:cs="Arial"/>
          <w:b/>
          <w:noProof/>
          <w:sz w:val="22"/>
          <w:szCs w:val="22"/>
          <w:lang w:val="en-GB"/>
        </w:rPr>
        <w:t>April 25</w:t>
      </w:r>
      <w:r w:rsidR="00A906C1">
        <w:rPr>
          <w:rFonts w:ascii="Trebuchet MS" w:hAnsi="Trebuchet MS" w:cs="Arial"/>
          <w:b/>
          <w:noProof/>
          <w:sz w:val="22"/>
          <w:szCs w:val="22"/>
          <w:lang w:val="en-GB"/>
        </w:rPr>
        <w:t>,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CF264B">
        <w:rPr>
          <w:rFonts w:ascii="Trebuchet MS" w:hAnsi="Trebuchet MS" w:cs="Arial"/>
          <w:b/>
          <w:noProof/>
          <w:sz w:val="22"/>
          <w:szCs w:val="22"/>
          <w:lang w:val="en-GB"/>
        </w:rPr>
        <w:t>April 23</w:t>
      </w:r>
      <w:r w:rsidR="00F66253">
        <w:rPr>
          <w:rFonts w:ascii="Trebuchet MS" w:hAnsi="Trebuchet MS" w:cs="Arial"/>
          <w:b/>
          <w:noProof/>
          <w:sz w:val="22"/>
          <w:szCs w:val="22"/>
          <w:lang w:val="en-GB"/>
        </w:rPr>
        <w:t>, 2024</w:t>
      </w:r>
      <w:r w:rsidR="00756AA8" w:rsidRPr="001D116A">
        <w:rPr>
          <w:rFonts w:ascii="Trebuchet MS" w:hAnsi="Trebuchet MS" w:cs="Arial"/>
          <w:b/>
          <w:noProof/>
          <w:sz w:val="22"/>
          <w:szCs w:val="22"/>
          <w:lang w:val="en-GB"/>
        </w:rPr>
        <w:t>,</w:t>
      </w:r>
      <w:r w:rsidR="00F66253">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F66253" w:rsidRPr="006D0330" w:rsidRDefault="00D14478" w:rsidP="00F66253">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493C38" w:rsidRPr="001D116A" w:rsidRDefault="00493C38" w:rsidP="00880316">
      <w:pPr>
        <w:autoSpaceDE w:val="0"/>
        <w:autoSpaceDN w:val="0"/>
        <w:adjustRightInd w:val="0"/>
        <w:jc w:val="both"/>
        <w:rPr>
          <w:rFonts w:ascii="Trebuchet MS" w:hAnsi="Trebuchet MS" w:cs="Arial"/>
          <w:noProof/>
          <w:sz w:val="22"/>
          <w:szCs w:val="22"/>
          <w:lang w:val="en-GB"/>
        </w:rPr>
      </w:pPr>
    </w:p>
    <w:p w:rsidR="00CA3FBD" w:rsidRPr="001D116A" w:rsidRDefault="00CA3FBD"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D11AF0">
      <w:footerReference w:type="even" r:id="rId8"/>
      <w:footerReference w:type="default" r:id="rId9"/>
      <w:pgSz w:w="11907" w:h="16840" w:code="9"/>
      <w:pgMar w:top="1260" w:right="128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916" w:rsidRDefault="00BA5916">
      <w:r>
        <w:separator/>
      </w:r>
    </w:p>
  </w:endnote>
  <w:endnote w:type="continuationSeparator" w:id="0">
    <w:p w:rsidR="00BA5916" w:rsidRDefault="00BA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BA59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1DFD">
      <w:rPr>
        <w:rStyle w:val="PageNumber"/>
        <w:noProof/>
      </w:rPr>
      <w:t>7</w:t>
    </w:r>
    <w:r>
      <w:rPr>
        <w:rStyle w:val="PageNumber"/>
      </w:rPr>
      <w:fldChar w:fldCharType="end"/>
    </w:r>
  </w:p>
  <w:p w:rsidR="000D6A47" w:rsidRDefault="00BA59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916" w:rsidRDefault="00BA5916">
      <w:r>
        <w:separator/>
      </w:r>
    </w:p>
  </w:footnote>
  <w:footnote w:type="continuationSeparator" w:id="0">
    <w:p w:rsidR="00BA5916" w:rsidRDefault="00BA5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2AE12AB"/>
    <w:multiLevelType w:val="hybridMultilevel"/>
    <w:tmpl w:val="D0FE2A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D0622"/>
    <w:multiLevelType w:val="hybridMultilevel"/>
    <w:tmpl w:val="DF0A422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7"/>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20C8D"/>
    <w:rsid w:val="00060EC1"/>
    <w:rsid w:val="00071081"/>
    <w:rsid w:val="00072801"/>
    <w:rsid w:val="00073572"/>
    <w:rsid w:val="000849CE"/>
    <w:rsid w:val="000A00FB"/>
    <w:rsid w:val="000C699F"/>
    <w:rsid w:val="000C7411"/>
    <w:rsid w:val="00112FE5"/>
    <w:rsid w:val="00124CFC"/>
    <w:rsid w:val="00133121"/>
    <w:rsid w:val="001431D1"/>
    <w:rsid w:val="00167E0C"/>
    <w:rsid w:val="00172746"/>
    <w:rsid w:val="0019799A"/>
    <w:rsid w:val="001D0C53"/>
    <w:rsid w:val="001D116A"/>
    <w:rsid w:val="001F236C"/>
    <w:rsid w:val="00206D9F"/>
    <w:rsid w:val="002138BC"/>
    <w:rsid w:val="00222CEB"/>
    <w:rsid w:val="00234074"/>
    <w:rsid w:val="00244C03"/>
    <w:rsid w:val="002508F3"/>
    <w:rsid w:val="00251DFD"/>
    <w:rsid w:val="00263A10"/>
    <w:rsid w:val="00282175"/>
    <w:rsid w:val="002954D4"/>
    <w:rsid w:val="002A5346"/>
    <w:rsid w:val="002B7E83"/>
    <w:rsid w:val="002C060D"/>
    <w:rsid w:val="00303AB5"/>
    <w:rsid w:val="00312ADE"/>
    <w:rsid w:val="00312E0C"/>
    <w:rsid w:val="003143D8"/>
    <w:rsid w:val="00342C63"/>
    <w:rsid w:val="0035545B"/>
    <w:rsid w:val="00376FF2"/>
    <w:rsid w:val="00380E07"/>
    <w:rsid w:val="00385671"/>
    <w:rsid w:val="003A3FE4"/>
    <w:rsid w:val="003B1287"/>
    <w:rsid w:val="003D2CEE"/>
    <w:rsid w:val="00451055"/>
    <w:rsid w:val="00462DAC"/>
    <w:rsid w:val="00471682"/>
    <w:rsid w:val="00483B07"/>
    <w:rsid w:val="00493C38"/>
    <w:rsid w:val="00497A58"/>
    <w:rsid w:val="004A2FF6"/>
    <w:rsid w:val="004A3F3D"/>
    <w:rsid w:val="004B502D"/>
    <w:rsid w:val="004B5DBF"/>
    <w:rsid w:val="004C2862"/>
    <w:rsid w:val="004C786B"/>
    <w:rsid w:val="00504A88"/>
    <w:rsid w:val="005125B2"/>
    <w:rsid w:val="00512FD0"/>
    <w:rsid w:val="005248D0"/>
    <w:rsid w:val="00525E16"/>
    <w:rsid w:val="00525E23"/>
    <w:rsid w:val="00554602"/>
    <w:rsid w:val="00570401"/>
    <w:rsid w:val="005716B7"/>
    <w:rsid w:val="00571A83"/>
    <w:rsid w:val="005E3CF4"/>
    <w:rsid w:val="005E61AF"/>
    <w:rsid w:val="0060359E"/>
    <w:rsid w:val="0064063A"/>
    <w:rsid w:val="00641321"/>
    <w:rsid w:val="00650D2F"/>
    <w:rsid w:val="006626B9"/>
    <w:rsid w:val="00667F99"/>
    <w:rsid w:val="006832AF"/>
    <w:rsid w:val="00683D16"/>
    <w:rsid w:val="006923AF"/>
    <w:rsid w:val="006A675C"/>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B618F"/>
    <w:rsid w:val="007F18A0"/>
    <w:rsid w:val="00812E93"/>
    <w:rsid w:val="00813BA0"/>
    <w:rsid w:val="0083544A"/>
    <w:rsid w:val="00852868"/>
    <w:rsid w:val="00855C94"/>
    <w:rsid w:val="00875BA3"/>
    <w:rsid w:val="00880316"/>
    <w:rsid w:val="00887CE7"/>
    <w:rsid w:val="008945B9"/>
    <w:rsid w:val="00894859"/>
    <w:rsid w:val="008A20BF"/>
    <w:rsid w:val="008B1992"/>
    <w:rsid w:val="008B4797"/>
    <w:rsid w:val="008C4766"/>
    <w:rsid w:val="008D78FD"/>
    <w:rsid w:val="008D7A66"/>
    <w:rsid w:val="008E2B85"/>
    <w:rsid w:val="009137FD"/>
    <w:rsid w:val="009436D1"/>
    <w:rsid w:val="00945597"/>
    <w:rsid w:val="00945A2A"/>
    <w:rsid w:val="00945D59"/>
    <w:rsid w:val="009562F9"/>
    <w:rsid w:val="00956666"/>
    <w:rsid w:val="00957F26"/>
    <w:rsid w:val="00960C04"/>
    <w:rsid w:val="00961B3E"/>
    <w:rsid w:val="00963BFF"/>
    <w:rsid w:val="00982F47"/>
    <w:rsid w:val="00991BAE"/>
    <w:rsid w:val="009A229A"/>
    <w:rsid w:val="009A23FA"/>
    <w:rsid w:val="009D0004"/>
    <w:rsid w:val="009E391E"/>
    <w:rsid w:val="009F467B"/>
    <w:rsid w:val="009F772F"/>
    <w:rsid w:val="00A01A43"/>
    <w:rsid w:val="00A219F5"/>
    <w:rsid w:val="00A2229B"/>
    <w:rsid w:val="00A32FF3"/>
    <w:rsid w:val="00A335CB"/>
    <w:rsid w:val="00A41394"/>
    <w:rsid w:val="00A52EFB"/>
    <w:rsid w:val="00A656B4"/>
    <w:rsid w:val="00A906C1"/>
    <w:rsid w:val="00A91814"/>
    <w:rsid w:val="00AA7588"/>
    <w:rsid w:val="00AD3A4B"/>
    <w:rsid w:val="00AE504D"/>
    <w:rsid w:val="00AF02AA"/>
    <w:rsid w:val="00B016B0"/>
    <w:rsid w:val="00B1652F"/>
    <w:rsid w:val="00B24520"/>
    <w:rsid w:val="00B37ED2"/>
    <w:rsid w:val="00B41A9F"/>
    <w:rsid w:val="00B518E6"/>
    <w:rsid w:val="00B57729"/>
    <w:rsid w:val="00B72BBA"/>
    <w:rsid w:val="00B967BF"/>
    <w:rsid w:val="00BA5916"/>
    <w:rsid w:val="00BF0A65"/>
    <w:rsid w:val="00BF5976"/>
    <w:rsid w:val="00C04935"/>
    <w:rsid w:val="00C10488"/>
    <w:rsid w:val="00C1442F"/>
    <w:rsid w:val="00C1680C"/>
    <w:rsid w:val="00C55DC3"/>
    <w:rsid w:val="00C77A05"/>
    <w:rsid w:val="00C87D56"/>
    <w:rsid w:val="00C91CEE"/>
    <w:rsid w:val="00CA3FBD"/>
    <w:rsid w:val="00CA500B"/>
    <w:rsid w:val="00CB1D66"/>
    <w:rsid w:val="00CB2B1F"/>
    <w:rsid w:val="00CB6F23"/>
    <w:rsid w:val="00CC355D"/>
    <w:rsid w:val="00CC78E2"/>
    <w:rsid w:val="00CD051C"/>
    <w:rsid w:val="00CF264B"/>
    <w:rsid w:val="00CF7975"/>
    <w:rsid w:val="00D07366"/>
    <w:rsid w:val="00D11AF0"/>
    <w:rsid w:val="00D14478"/>
    <w:rsid w:val="00D31D8D"/>
    <w:rsid w:val="00D43D30"/>
    <w:rsid w:val="00D60AA3"/>
    <w:rsid w:val="00D76468"/>
    <w:rsid w:val="00D77775"/>
    <w:rsid w:val="00DA1C3D"/>
    <w:rsid w:val="00DB52C9"/>
    <w:rsid w:val="00DC06F8"/>
    <w:rsid w:val="00DC78ED"/>
    <w:rsid w:val="00DE0FE2"/>
    <w:rsid w:val="00DE5CB5"/>
    <w:rsid w:val="00DF7A34"/>
    <w:rsid w:val="00E02F05"/>
    <w:rsid w:val="00E077E9"/>
    <w:rsid w:val="00E14BD0"/>
    <w:rsid w:val="00E20479"/>
    <w:rsid w:val="00E30345"/>
    <w:rsid w:val="00E379AC"/>
    <w:rsid w:val="00E558E0"/>
    <w:rsid w:val="00E82A9D"/>
    <w:rsid w:val="00E84770"/>
    <w:rsid w:val="00E90123"/>
    <w:rsid w:val="00E90F71"/>
    <w:rsid w:val="00E97235"/>
    <w:rsid w:val="00EA0808"/>
    <w:rsid w:val="00EC2F65"/>
    <w:rsid w:val="00ED05E6"/>
    <w:rsid w:val="00EE660E"/>
    <w:rsid w:val="00EF60A4"/>
    <w:rsid w:val="00F1457D"/>
    <w:rsid w:val="00F21F98"/>
    <w:rsid w:val="00F274F1"/>
    <w:rsid w:val="00F30AC6"/>
    <w:rsid w:val="00F6625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ACFFA-C2B5-4D19-A0A7-1161A8F8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156</cp:revision>
  <dcterms:created xsi:type="dcterms:W3CDTF">2018-08-15T19:26:00Z</dcterms:created>
  <dcterms:modified xsi:type="dcterms:W3CDTF">2024-03-25T12:39:00Z</dcterms:modified>
</cp:coreProperties>
</file>