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D3" w:rsidRPr="00364BD3" w:rsidRDefault="004E53F8" w:rsidP="00393F7D">
      <w:pPr>
        <w:jc w:val="center"/>
        <w:rPr>
          <w:rFonts w:ascii="Arial Narrow" w:hAnsi="Arial Narrow" w:cs="Arial"/>
          <w:b/>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FD44CA" w:rsidP="006F434B">
      <w:pPr>
        <w:jc w:val="center"/>
        <w:rPr>
          <w:rFonts w:ascii="Arial" w:hAnsi="Arial" w:cs="Arial"/>
          <w:b/>
          <w:lang w:val="ro-RO"/>
        </w:rPr>
      </w:pPr>
      <w:r>
        <w:rPr>
          <w:rFonts w:ascii="Arial" w:hAnsi="Arial" w:cs="Arial"/>
          <w:b/>
          <w:lang w:val="ro-RO"/>
        </w:rPr>
        <w:t>Produse alimentare pentru protocol</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FD44CA">
        <w:rPr>
          <w:rFonts w:ascii="Arial" w:hAnsi="Arial" w:cs="Arial"/>
          <w:b/>
          <w:color w:val="000000"/>
          <w:lang w:val="ro-RO"/>
        </w:rPr>
        <w:t>15800000-6</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365EEC" w:rsidRPr="004B499F" w:rsidRDefault="00F929A5" w:rsidP="00CA1B71">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p>
    <w:p w:rsidR="00365EEC" w:rsidRPr="004B499F" w:rsidRDefault="00365EEC" w:rsidP="00CA1B71">
      <w:pPr>
        <w:rPr>
          <w:rFonts w:ascii="Arial" w:hAnsi="Arial" w:cs="Arial"/>
          <w:sz w:val="24"/>
          <w:szCs w:val="24"/>
          <w:lang w:val="ro-RO"/>
        </w:rPr>
      </w:pP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Cafea boabe:Premium  – caffe crema  Espresso , – 1 kg, prajire medie, cu aroma echilibrata, crema fina- 120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Lapte condensat pentru cafea, 10 casolete x 10 gr/9.8 ml, grasime 10%, UHT, -  5000 tiple (10 buc/tipla)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Arahide sarate, 135 gr/cutie, arahide, ulei vegetal, sare 1%  valoare nutritiva 615 Kcal/100 gr.  – 42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Bautura carbogazoasa, doza Gama Cola (sau echivalent), 0.33 gr,continut :apa, zahar, dioxid de carbon, arome naturale cofeina, 120 de bucati,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Bautura carbogazoasa, doza Gama Pepsi (sau echivalent), 0.33 gr.continut: apa, zahar, dioxid de carbon, cofeina - 60 de bucati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Bautura carbogazoasa, doza, Gama Fanta (sau echivalent)  0.33 gr continut: apa, zahar,sirop de fructoza, suc de portocale 5%, dioxid de carbon  -60 de bucati,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 Bautura racoritoare carbogazoasa gama Cola ( sau echivalent), gust original cola ingredinte: apa, zahar, dioxid de carbon, arome naturale inclusiv cafeina  , ambalaj pet – 0, 5 l  - 240 de buc.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Bautura carbogazoasa fara zahar Gama Cola( sau echivalent) , pet de 0.5 L, arome naturale, inclusiv cofeina  - 60 de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Bautura racoritoare carbogazoasa  cu suc de portocale Gama Fanta (sau echivalent),ingrediente: apa, zahar, suc de portocale 5%,  - pet de  0.5 L,-  60 de buc</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Bautura carbogazoasa Tonic Water, cu lamaie, 0.5 L  continut: apa, zahar, suc de mandarine (min.2%), acid citric, arome, - 60 de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Bautura carbogazoasa Tonic Water, continut: apa, zahar,acid citric, dioxid de carbon -0.5 L, - 60 de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 Bautura carbogazoasa, 0.5 L, continut gama Pepsi (sau echivalent): apa, dioxid de carbon, cofeina, aroma cola -120 de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fructe de padure 20 pliculete ambalate individual x 2,5 gr –  48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menta, 20 pliculete/cutie x 2 gr/plic,-  36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tei 20 pliculete x 1 gr/plic, - 18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musetel 20 pliculete x 1 gr/plic-  18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Ceai verde cu aroma de lamaie 20 pliculete/cutie, ambalate individual – 20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Ceai soc 20 pliculete x 1 gr./ plic – 12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Ceai sunatoare 20 pliculete x 1 gr./plic – 18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Servetele pop-up, albe, la cutie, 21 cm x 21  cm, 150 buc/cutie, 2 straturi, (16gr/mp/strat) ,ambalate intr-o cutie de carton si sunt fabricate din celuloza 100% - 300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Naproane dantelate din hartie alba pentru cesti de cafea/farfurii, 250 bucati/set, diametru 10 cm, 35 pachete,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lastRenderedPageBreak/>
        <w:t xml:space="preserve">Servetele de masa, albe, dimensiune 25 cm x 25 cm, 100 buc/pachete -  60 pachete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 Biscuiti toorttizi cu susan, 180 gr/ punga, copt si crocant – 36 pungi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Biscuiti toorttizi cu sare, 180 gr/ punga, copt si crocant – 36 pungi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Zahar brun, 200 bagete x 5g / plic , 50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Zahar alb , 200 baghete x 5 gr./plic, 6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din plante asortate, horeca 120 bucati/cutie, ambalate individual, si sa  contina:  30 plicuri x musetel x 1gr, 30 plicuri x menta x 1gr, 30 plicuri x sunatoarex 1 gr,  30 x plicuri tei,x 1 gr 120 gr./cutie, 5 cutii,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Ceai din plante asortate, horeca 120 bucati/cutie ambalate individual, si sa contina: 30 plicuri x fructe de padure, 30 plicuri x ceai verde cu lamaie si vanilie, 30 plicuri capsuni si fragi, 30 plicuri x ceai cu ghimber si lamai verzi, 240 gr, 5 cutii, </w:t>
      </w:r>
    </w:p>
    <w:p w:rsidR="00FD44CA" w:rsidRPr="00FD44CA" w:rsidRDefault="00FD44CA" w:rsidP="00FD44CA">
      <w:pPr>
        <w:numPr>
          <w:ilvl w:val="0"/>
          <w:numId w:val="20"/>
        </w:numPr>
        <w:rPr>
          <w:rFonts w:ascii="Arial" w:hAnsi="Arial" w:cs="Arial"/>
          <w:sz w:val="24"/>
          <w:szCs w:val="24"/>
          <w:lang w:val="ro-RO"/>
        </w:rPr>
      </w:pPr>
      <w:proofErr w:type="spellStart"/>
      <w:r w:rsidRPr="00FD44CA">
        <w:rPr>
          <w:rFonts w:ascii="Arial" w:hAnsi="Arial" w:cs="Arial"/>
          <w:sz w:val="24"/>
          <w:szCs w:val="24"/>
        </w:rPr>
        <w:t>Ceai</w:t>
      </w:r>
      <w:proofErr w:type="spellEnd"/>
      <w:r w:rsidRPr="00FD44CA">
        <w:rPr>
          <w:rFonts w:ascii="Arial" w:hAnsi="Arial" w:cs="Arial"/>
          <w:sz w:val="24"/>
          <w:szCs w:val="24"/>
        </w:rPr>
        <w:t xml:space="preserve"> </w:t>
      </w:r>
      <w:proofErr w:type="spellStart"/>
      <w:r w:rsidRPr="00FD44CA">
        <w:rPr>
          <w:rFonts w:ascii="Arial" w:hAnsi="Arial" w:cs="Arial"/>
          <w:sz w:val="24"/>
          <w:szCs w:val="24"/>
        </w:rPr>
        <w:t>negru</w:t>
      </w:r>
      <w:proofErr w:type="spellEnd"/>
      <w:r w:rsidRPr="00FD44CA">
        <w:rPr>
          <w:rFonts w:ascii="Arial" w:hAnsi="Arial" w:cs="Arial"/>
          <w:sz w:val="24"/>
          <w:szCs w:val="24"/>
        </w:rPr>
        <w:t xml:space="preserve"> – 25 x 1,8 gr. </w:t>
      </w:r>
      <w:proofErr w:type="spellStart"/>
      <w:r w:rsidRPr="00FD44CA">
        <w:rPr>
          <w:rFonts w:ascii="Arial" w:hAnsi="Arial" w:cs="Arial"/>
          <w:sz w:val="24"/>
          <w:szCs w:val="24"/>
        </w:rPr>
        <w:t>pliculete</w:t>
      </w:r>
      <w:proofErr w:type="spellEnd"/>
      <w:r w:rsidRPr="00FD44CA">
        <w:rPr>
          <w:rFonts w:ascii="Arial" w:hAnsi="Arial" w:cs="Arial"/>
          <w:sz w:val="24"/>
          <w:szCs w:val="24"/>
        </w:rPr>
        <w:t xml:space="preserve"> </w:t>
      </w:r>
      <w:proofErr w:type="spellStart"/>
      <w:r w:rsidRPr="00FD44CA">
        <w:rPr>
          <w:rFonts w:ascii="Arial" w:hAnsi="Arial" w:cs="Arial"/>
          <w:sz w:val="24"/>
          <w:szCs w:val="24"/>
        </w:rPr>
        <w:t>ambalat</w:t>
      </w:r>
      <w:proofErr w:type="spellEnd"/>
      <w:r w:rsidRPr="00FD44CA">
        <w:rPr>
          <w:rFonts w:ascii="Arial" w:hAnsi="Arial" w:cs="Arial"/>
          <w:sz w:val="24"/>
          <w:szCs w:val="24"/>
        </w:rPr>
        <w:t xml:space="preserve"> individual, 100 % </w:t>
      </w:r>
      <w:proofErr w:type="spellStart"/>
      <w:r w:rsidRPr="00FD44CA">
        <w:rPr>
          <w:rFonts w:ascii="Arial" w:hAnsi="Arial" w:cs="Arial"/>
          <w:sz w:val="24"/>
          <w:szCs w:val="24"/>
        </w:rPr>
        <w:t>ceai</w:t>
      </w:r>
      <w:proofErr w:type="spellEnd"/>
      <w:r w:rsidRPr="00FD44CA">
        <w:rPr>
          <w:rFonts w:ascii="Arial" w:hAnsi="Arial" w:cs="Arial"/>
          <w:sz w:val="24"/>
          <w:szCs w:val="24"/>
        </w:rPr>
        <w:t xml:space="preserve"> </w:t>
      </w:r>
      <w:proofErr w:type="spellStart"/>
      <w:r w:rsidRPr="00FD44CA">
        <w:rPr>
          <w:rFonts w:ascii="Arial" w:hAnsi="Arial" w:cs="Arial"/>
          <w:sz w:val="24"/>
          <w:szCs w:val="24"/>
        </w:rPr>
        <w:t>negru</w:t>
      </w:r>
      <w:proofErr w:type="spellEnd"/>
      <w:r w:rsidRPr="00FD44CA">
        <w:rPr>
          <w:rFonts w:ascii="Arial" w:hAnsi="Arial" w:cs="Arial"/>
          <w:sz w:val="24"/>
          <w:szCs w:val="24"/>
        </w:rPr>
        <w:t xml:space="preserve">- 5 </w:t>
      </w:r>
      <w:proofErr w:type="spellStart"/>
      <w:r w:rsidRPr="00FD44CA">
        <w:rPr>
          <w:rFonts w:ascii="Arial" w:hAnsi="Arial" w:cs="Arial"/>
          <w:sz w:val="24"/>
          <w:szCs w:val="24"/>
        </w:rPr>
        <w:t>cutii</w:t>
      </w:r>
      <w:proofErr w:type="spellEnd"/>
      <w:r w:rsidRPr="00FD44CA">
        <w:rPr>
          <w:rFonts w:ascii="Arial" w:hAnsi="Arial" w:cs="Arial"/>
          <w:sz w:val="24"/>
          <w:szCs w:val="24"/>
        </w:rPr>
        <w:t xml:space="preserve">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Suc natural 100 % suc de mere obtinut din suc concentrat de mere, fara zahar, ambalat in cutie de caton - 1L, - 30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 xml:space="preserve">100 % suc portocale obtinut din suc concentrat de portocale, fara zahar, bogat in vitamina C, ambalaj in cutie de catron  1L, -  30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Suc natural de portocale rosii 100%, fara zahar, 1L, , Apa,suc de portocale rosii de Sicilia(25%),zahar,acidifiant,acid citric,coloranti,cosenila si beta caroten, antioxidant,acid L-ascorbic,arom, ambalaj cutie carton -30 bucati .</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Biscuiti sarati Maximix, sau echivalent 100 gr, Faina de grau, ulei vegetal, eminte de mac, zer pudra, cascaval pudra, drojdie, - 35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Fursecuri cu unt, 500 gr, contine: faina alba, zahar, unt 18%, fulgi de cocos, amoniu, sare, sirop zahar  ambalaj cutie metal-  35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Biscuiti digestivi, 400 gr. contine: faina integrala de grau 59%, grasimi vegetale(palmier), zahar, sirop de glucoza si fructoza, bicarbonat de sodiu si de amoniu, sare – 35 pachete</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Cappucino clasic, 10  plicuri/cutie, 12,5 gr/plic ambalate individual – 10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Ciocolada calda de baut, 10 plicuri/cutie, 12,5 gr./plic ambalate individual – 10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Cafea macinata 100% arabica, fara cofeina, 500 gr. – 6 bucatii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Cafea macinata, 100% arabica, 500 gr. – 48 bucatii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Nes instant, cafea solubila- instant 100%, 500 gr./ punga – 30 pungii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Biscuiti cu caramel de cafea, 125buc/cutie ambalati individual – 6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bCs/>
          <w:sz w:val="24"/>
          <w:szCs w:val="24"/>
          <w:lang w:val="ro-RO"/>
        </w:rPr>
        <w:t>Bomboane de ciocolata,  8 sortimente, asortate, 250 gr.</w:t>
      </w:r>
      <w:r w:rsidRPr="00FD44CA">
        <w:rPr>
          <w:rFonts w:ascii="Arial" w:hAnsi="Arial" w:cs="Arial"/>
          <w:sz w:val="24"/>
          <w:szCs w:val="24"/>
          <w:lang w:val="ro-RO"/>
        </w:rPr>
        <w:t>/ cutie – 36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Bomboane ciocolata crocante cu nuca de cocos si migdale –  150 gr/cutie- 25 cutii</w:t>
      </w:r>
    </w:p>
    <w:p w:rsidR="00FD44CA" w:rsidRPr="00FD44CA" w:rsidRDefault="00FD44CA" w:rsidP="00FD44CA">
      <w:pPr>
        <w:numPr>
          <w:ilvl w:val="0"/>
          <w:numId w:val="20"/>
        </w:numPr>
        <w:rPr>
          <w:rFonts w:ascii="Arial" w:hAnsi="Arial" w:cs="Arial"/>
          <w:sz w:val="24"/>
          <w:szCs w:val="24"/>
          <w:lang w:val="ro-RO"/>
        </w:rPr>
      </w:pPr>
      <w:r w:rsidRPr="00FD44CA">
        <w:rPr>
          <w:rFonts w:ascii="Arial" w:hAnsi="Arial" w:cs="Arial"/>
          <w:sz w:val="24"/>
          <w:szCs w:val="24"/>
          <w:lang w:val="ro-RO"/>
        </w:rPr>
        <w:t>Zaharina 650 de tablete/ cutie –7 bucati</w:t>
      </w:r>
    </w:p>
    <w:p w:rsidR="00FD44CA" w:rsidRPr="00FD44CA" w:rsidRDefault="00FD44CA" w:rsidP="00FD44CA">
      <w:pPr>
        <w:ind w:left="360" w:hanging="360"/>
        <w:rPr>
          <w:rFonts w:ascii="Arial" w:hAnsi="Arial" w:cs="Arial"/>
          <w:sz w:val="24"/>
          <w:szCs w:val="24"/>
          <w:u w:val="single"/>
          <w:lang w:val="ro-RO"/>
        </w:rPr>
      </w:pPr>
    </w:p>
    <w:p w:rsidR="00FD44CA" w:rsidRPr="00FD44CA" w:rsidRDefault="00FD44CA" w:rsidP="00FD44CA">
      <w:pPr>
        <w:ind w:left="360" w:hanging="360"/>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III. VALOARE ESTIMATA: 24.000 lei fara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CA1B71" w:rsidRPr="004B499F">
        <w:rPr>
          <w:rFonts w:ascii="Arial" w:hAnsi="Arial" w:cs="Arial"/>
          <w:sz w:val="24"/>
          <w:szCs w:val="24"/>
          <w:lang w:val="ro-RO"/>
        </w:rPr>
        <w:t>LIVRARE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D61C67">
        <w:rPr>
          <w:rFonts w:ascii="Arial" w:hAnsi="Arial" w:cs="Arial"/>
          <w:sz w:val="24"/>
          <w:szCs w:val="24"/>
          <w:lang w:val="ro-RO"/>
        </w:rPr>
        <w:t xml:space="preserve">Produsele se vor livra in transe conform comenzii in termen de </w:t>
      </w:r>
      <w:r>
        <w:rPr>
          <w:rFonts w:ascii="Arial" w:hAnsi="Arial" w:cs="Arial"/>
          <w:sz w:val="24"/>
          <w:szCs w:val="24"/>
          <w:lang w:val="ro-RO"/>
        </w:rPr>
        <w:t>5</w:t>
      </w:r>
      <w:r w:rsidR="002C64C3" w:rsidRPr="004B499F">
        <w:rPr>
          <w:rFonts w:ascii="Arial" w:hAnsi="Arial" w:cs="Arial"/>
          <w:sz w:val="24"/>
          <w:szCs w:val="24"/>
          <w:lang w:val="ro-RO"/>
        </w:rPr>
        <w:t xml:space="preserve"> zile de la emiterea </w:t>
      </w:r>
      <w:r w:rsidR="00D61C67">
        <w:rPr>
          <w:rFonts w:ascii="Arial" w:hAnsi="Arial" w:cs="Arial"/>
          <w:sz w:val="24"/>
          <w:szCs w:val="24"/>
          <w:lang w:val="ro-RO"/>
        </w:rPr>
        <w:t>acesteia.</w:t>
      </w:r>
    </w:p>
    <w:p w:rsidR="00F269B9" w:rsidRPr="004B499F" w:rsidRDefault="00F269B9" w:rsidP="006F434B">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5E24D2"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w:t>
      </w:r>
      <w:r w:rsidR="00393F7D">
        <w:rPr>
          <w:rFonts w:ascii="Arial" w:hAnsi="Arial" w:cs="Arial"/>
          <w:sz w:val="24"/>
          <w:szCs w:val="24"/>
          <w:lang w:val="ro-RO"/>
        </w:rPr>
        <w:t xml:space="preserve">total </w:t>
      </w:r>
      <w:r w:rsidR="00EE4FE9" w:rsidRPr="004B499F">
        <w:rPr>
          <w:rFonts w:ascii="Arial" w:hAnsi="Arial" w:cs="Arial"/>
          <w:sz w:val="24"/>
          <w:szCs w:val="24"/>
          <w:lang w:val="ro-RO"/>
        </w:rPr>
        <w:t>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w:t>
      </w:r>
      <w:r w:rsidR="00393F7D">
        <w:rPr>
          <w:rFonts w:ascii="Arial" w:hAnsi="Arial" w:cs="Arial"/>
          <w:sz w:val="24"/>
          <w:szCs w:val="24"/>
          <w:lang w:val="ro-RO"/>
        </w:rPr>
        <w:t xml:space="preserve"> inclusiv </w:t>
      </w:r>
      <w:r w:rsidR="00804A3B">
        <w:rPr>
          <w:rFonts w:ascii="Arial" w:hAnsi="Arial" w:cs="Arial"/>
          <w:sz w:val="24"/>
          <w:szCs w:val="24"/>
          <w:lang w:val="ro-RO"/>
        </w:rPr>
        <w:t xml:space="preserve">pentru fiecare </w:t>
      </w:r>
      <w:r w:rsidR="00D8051B">
        <w:rPr>
          <w:rFonts w:ascii="Arial" w:hAnsi="Arial" w:cs="Arial"/>
          <w:sz w:val="24"/>
          <w:szCs w:val="24"/>
          <w:lang w:val="ro-RO"/>
        </w:rPr>
        <w:t>produs solicitat</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toate cheltuielile legate de ambalare si transport la sediul din Medias, jud. Sibiu, </w:t>
      </w:r>
      <w:r w:rsidR="00C1008B">
        <w:rPr>
          <w:rFonts w:ascii="Arial" w:hAnsi="Arial" w:cs="Arial"/>
          <w:sz w:val="24"/>
          <w:szCs w:val="24"/>
          <w:lang w:val="ro-RO"/>
        </w:rPr>
        <w:t>Sos</w:t>
      </w:r>
      <w:r w:rsidR="00D4598B" w:rsidRPr="004B499F">
        <w:rPr>
          <w:rFonts w:ascii="Arial" w:hAnsi="Arial" w:cs="Arial"/>
          <w:sz w:val="24"/>
          <w:szCs w:val="24"/>
          <w:lang w:val="ro-RO"/>
        </w:rPr>
        <w:t>.</w:t>
      </w:r>
      <w:r w:rsidR="00C1008B">
        <w:rPr>
          <w:rFonts w:ascii="Arial" w:hAnsi="Arial" w:cs="Arial"/>
          <w:sz w:val="24"/>
          <w:szCs w:val="24"/>
          <w:lang w:val="ro-RO"/>
        </w:rPr>
        <w:t xml:space="preserve"> CI Motas nr.4.</w:t>
      </w:r>
      <w:r w:rsidR="00D61C67">
        <w:rPr>
          <w:rFonts w:ascii="Arial" w:hAnsi="Arial" w:cs="Arial"/>
          <w:sz w:val="24"/>
          <w:szCs w:val="24"/>
          <w:lang w:val="ro-RO"/>
        </w:rPr>
        <w:t xml:space="preserve"> Toate produsele se vor achizitiona de la acelasi operator economic.</w:t>
      </w:r>
    </w:p>
    <w:p w:rsidR="006F434B" w:rsidRPr="004B499F" w:rsidRDefault="006F434B" w:rsidP="006F434B">
      <w:pPr>
        <w:jc w:val="both"/>
        <w:rPr>
          <w:rFonts w:ascii="Arial" w:hAnsi="Arial" w:cs="Arial"/>
          <w:sz w:val="24"/>
          <w:szCs w:val="24"/>
          <w:lang w:val="ro-RO"/>
        </w:rPr>
      </w:pPr>
    </w:p>
    <w:p w:rsidR="002C64C3" w:rsidRPr="004B499F" w:rsidRDefault="00F269B9" w:rsidP="002C64C3">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C64C3" w:rsidRPr="004B499F">
        <w:rPr>
          <w:rFonts w:ascii="Arial" w:hAnsi="Arial" w:cs="Arial"/>
          <w:sz w:val="24"/>
          <w:szCs w:val="24"/>
          <w:lang w:val="ro-RO"/>
        </w:rPr>
        <w:t>Pentru clarificăr</w:t>
      </w:r>
      <w:r w:rsidR="00C1008B">
        <w:rPr>
          <w:rFonts w:ascii="Arial" w:hAnsi="Arial" w:cs="Arial"/>
          <w:sz w:val="24"/>
          <w:szCs w:val="24"/>
          <w:lang w:val="ro-RO"/>
        </w:rPr>
        <w:t>i, persoana de contact este D.na</w:t>
      </w:r>
      <w:r w:rsidR="002C64C3" w:rsidRPr="004B499F">
        <w:rPr>
          <w:rFonts w:ascii="Arial" w:hAnsi="Arial" w:cs="Arial"/>
          <w:sz w:val="24"/>
          <w:szCs w:val="24"/>
          <w:lang w:val="ro-RO"/>
        </w:rPr>
        <w:t xml:space="preserve"> </w:t>
      </w:r>
      <w:r w:rsidR="00D61C67">
        <w:rPr>
          <w:rFonts w:ascii="Arial" w:hAnsi="Arial" w:cs="Arial"/>
          <w:sz w:val="24"/>
          <w:szCs w:val="24"/>
          <w:lang w:val="ro-RO"/>
        </w:rPr>
        <w:t>Luciana Boier</w:t>
      </w:r>
      <w:r w:rsidR="002C64C3" w:rsidRPr="004B499F">
        <w:rPr>
          <w:rFonts w:ascii="Arial" w:hAnsi="Arial" w:cs="Arial"/>
          <w:sz w:val="24"/>
          <w:szCs w:val="24"/>
          <w:lang w:val="ro-RO"/>
        </w:rPr>
        <w:t xml:space="preserve"> –, tel: 0</w:t>
      </w:r>
      <w:r w:rsidR="00846E3D">
        <w:rPr>
          <w:rFonts w:ascii="Arial" w:hAnsi="Arial" w:cs="Arial"/>
          <w:sz w:val="24"/>
          <w:szCs w:val="24"/>
          <w:lang w:val="ro-RO"/>
        </w:rPr>
        <w:t>74933</w:t>
      </w:r>
      <w:r w:rsidR="00D61C67">
        <w:rPr>
          <w:rFonts w:ascii="Arial" w:hAnsi="Arial" w:cs="Arial"/>
          <w:sz w:val="24"/>
          <w:szCs w:val="24"/>
          <w:lang w:val="ro-RO"/>
        </w:rPr>
        <w:t>935</w:t>
      </w:r>
      <w:r w:rsidR="002C64C3" w:rsidRPr="004B499F">
        <w:rPr>
          <w:rFonts w:ascii="Arial" w:hAnsi="Arial" w:cs="Arial"/>
          <w:sz w:val="24"/>
          <w:szCs w:val="24"/>
          <w:lang w:val="ro-RO"/>
        </w:rPr>
        <w:t xml:space="preserve">, mail: </w:t>
      </w:r>
      <w:r w:rsidR="00D61C67">
        <w:rPr>
          <w:rFonts w:ascii="Arial" w:hAnsi="Arial" w:cs="Arial"/>
          <w:sz w:val="24"/>
          <w:szCs w:val="24"/>
          <w:lang w:val="ro-RO"/>
        </w:rPr>
        <w:t>luciana.boier</w:t>
      </w:r>
      <w:r w:rsidR="002C64C3" w:rsidRPr="004B499F">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393F7D">
        <w:rPr>
          <w:rFonts w:ascii="Arial" w:hAnsi="Arial" w:cs="Arial"/>
          <w:sz w:val="24"/>
          <w:szCs w:val="24"/>
          <w:lang w:val="ro-RO"/>
        </w:rPr>
        <w:t>13.11.2020</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p w:rsidR="001761DF" w:rsidRPr="004B499F" w:rsidRDefault="001761DF" w:rsidP="001761DF">
      <w:pPr>
        <w:shd w:val="clear" w:color="auto" w:fill="FFFFFF"/>
        <w:ind w:left="10"/>
        <w:jc w:val="both"/>
        <w:rPr>
          <w:rFonts w:ascii="Arial" w:hAnsi="Arial" w:cs="Arial"/>
          <w:color w:val="000000"/>
          <w:spacing w:val="-1"/>
          <w:sz w:val="24"/>
          <w:szCs w:val="24"/>
          <w:lang w:val="ro-RO"/>
        </w:rPr>
      </w:pPr>
    </w:p>
    <w:p w:rsidR="00393F7D" w:rsidRPr="004B499F" w:rsidRDefault="001761DF" w:rsidP="00393F7D">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bookmarkStart w:id="0" w:name="_GoBack"/>
      <w:bookmarkEnd w:id="0"/>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76" w:rsidRDefault="00E53376" w:rsidP="00782876">
      <w:r>
        <w:separator/>
      </w:r>
    </w:p>
  </w:endnote>
  <w:endnote w:type="continuationSeparator" w:id="0">
    <w:p w:rsidR="00E53376" w:rsidRDefault="00E53376"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393F7D">
            <w:rPr>
              <w:rStyle w:val="PageNumber"/>
              <w:rFonts w:ascii="Arial Narrow" w:hAnsi="Arial Narrow"/>
              <w:noProof/>
              <w:sz w:val="16"/>
              <w:szCs w:val="16"/>
            </w:rPr>
            <w:t>3</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393F7D">
            <w:rPr>
              <w:rStyle w:val="PageNumber"/>
              <w:rFonts w:ascii="Arial Narrow" w:hAnsi="Arial Narrow"/>
              <w:noProof/>
              <w:sz w:val="16"/>
              <w:szCs w:val="16"/>
            </w:rPr>
            <w:t>3</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76" w:rsidRDefault="00E53376" w:rsidP="00782876">
      <w:r>
        <w:separator/>
      </w:r>
    </w:p>
  </w:footnote>
  <w:footnote w:type="continuationSeparator" w:id="0">
    <w:p w:rsidR="00E53376" w:rsidRDefault="00E53376"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8"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9"/>
  </w:num>
  <w:num w:numId="5">
    <w:abstractNumId w:val="7"/>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4"/>
  </w:num>
  <w:num w:numId="13">
    <w:abstractNumId w:val="6"/>
  </w:num>
  <w:num w:numId="14">
    <w:abstractNumId w:val="19"/>
  </w:num>
  <w:num w:numId="15">
    <w:abstractNumId w:val="18"/>
  </w:num>
  <w:num w:numId="16">
    <w:abstractNumId w:val="10"/>
  </w:num>
  <w:num w:numId="17">
    <w:abstractNumId w:val="14"/>
  </w:num>
  <w:num w:numId="18">
    <w:abstractNumId w:val="5"/>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375E"/>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51AB"/>
    <w:rsid w:val="0023689E"/>
    <w:rsid w:val="00241883"/>
    <w:rsid w:val="0024521C"/>
    <w:rsid w:val="0024668C"/>
    <w:rsid w:val="002505C3"/>
    <w:rsid w:val="002542F1"/>
    <w:rsid w:val="00272175"/>
    <w:rsid w:val="0027240B"/>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93F7D"/>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008B"/>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6E16"/>
    <w:rsid w:val="00D9242A"/>
    <w:rsid w:val="00D92C9F"/>
    <w:rsid w:val="00DC7C7F"/>
    <w:rsid w:val="00DD0162"/>
    <w:rsid w:val="00DD37BC"/>
    <w:rsid w:val="00DD5B43"/>
    <w:rsid w:val="00DF2500"/>
    <w:rsid w:val="00E04B9D"/>
    <w:rsid w:val="00E1129C"/>
    <w:rsid w:val="00E44415"/>
    <w:rsid w:val="00E4611E"/>
    <w:rsid w:val="00E53376"/>
    <w:rsid w:val="00E64C31"/>
    <w:rsid w:val="00E656F4"/>
    <w:rsid w:val="00E65EE3"/>
    <w:rsid w:val="00E8252C"/>
    <w:rsid w:val="00E83AC1"/>
    <w:rsid w:val="00E85188"/>
    <w:rsid w:val="00E90E96"/>
    <w:rsid w:val="00E92E51"/>
    <w:rsid w:val="00E9440E"/>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55F0-6E40-4890-8BEA-8FAF6D98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10218</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34</cp:revision>
  <cp:lastPrinted>2020-09-25T11:16:00Z</cp:lastPrinted>
  <dcterms:created xsi:type="dcterms:W3CDTF">2019-10-16T08:41:00Z</dcterms:created>
  <dcterms:modified xsi:type="dcterms:W3CDTF">2020-11-10T21:08:00Z</dcterms:modified>
</cp:coreProperties>
</file>