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9C6" w:rsidRPr="00F243D1" w:rsidRDefault="00953459">
      <w:pPr>
        <w:rPr>
          <w:rFonts w:ascii="Times New Roman" w:eastAsia="Times New Roman" w:hAnsi="Times New Roman"/>
          <w:sz w:val="20"/>
          <w:szCs w:val="24"/>
        </w:rPr>
      </w:pPr>
      <w:r w:rsidRPr="00F243D1">
        <w:rPr>
          <w:rFonts w:ascii="Times New Roman" w:eastAsia="Times New Roman" w:hAnsi="Times New Roman"/>
          <w:sz w:val="20"/>
          <w:szCs w:val="24"/>
        </w:rPr>
        <w:t>﻿</w:t>
      </w:r>
      <w:r w:rsidRPr="00F243D1">
        <w:rPr>
          <w:rFonts w:ascii="Times New Roman" w:eastAsia="Times New Roman" w:hAnsi="Times New Roman"/>
          <w:b/>
          <w:bCs/>
          <w:sz w:val="20"/>
          <w:szCs w:val="24"/>
        </w:rPr>
        <w:t xml:space="preserve"> HOTĂRÂRE nr. 958 din 9 decembrie 2015</w:t>
      </w:r>
      <w:r w:rsidRPr="00F243D1">
        <w:rPr>
          <w:rFonts w:ascii="Times New Roman" w:eastAsia="Times New Roman" w:hAnsi="Times New Roman"/>
          <w:sz w:val="20"/>
          <w:szCs w:val="24"/>
        </w:rPr>
        <w:br/>
        <w:t>privind aprobarea amplasamentului şi declanşarea procedurilor de expropriere a imobilelor proprietate privată situate în coridorul de expropriere al lucrării de utilitate publică de interes naţional "S.N.G.N. ROMGAZ - S.A. - Conducta de aducţiune a sondei 15 Bilciureşti", judeţul Dâmboviţa</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r>
      <w:r w:rsidRPr="00F243D1">
        <w:rPr>
          <w:rFonts w:ascii="Times New Roman" w:eastAsia="Times New Roman" w:hAnsi="Times New Roman"/>
          <w:b/>
          <w:bCs/>
          <w:sz w:val="20"/>
          <w:szCs w:val="24"/>
        </w:rPr>
        <w:t xml:space="preserve">EMITENT: </w:t>
      </w:r>
      <w:r w:rsidRPr="00F243D1">
        <w:rPr>
          <w:rFonts w:ascii="Times New Roman" w:eastAsia="Times New Roman" w:hAnsi="Times New Roman"/>
          <w:sz w:val="20"/>
          <w:szCs w:val="24"/>
        </w:rPr>
        <w:t>GUVERNUL</w:t>
      </w:r>
      <w:r w:rsidRPr="00F243D1">
        <w:rPr>
          <w:rFonts w:ascii="Times New Roman" w:eastAsia="Times New Roman" w:hAnsi="Times New Roman"/>
          <w:sz w:val="20"/>
          <w:szCs w:val="24"/>
        </w:rPr>
        <w:br/>
      </w:r>
      <w:r w:rsidRPr="00F243D1">
        <w:rPr>
          <w:rFonts w:ascii="Times New Roman" w:eastAsia="Times New Roman" w:hAnsi="Times New Roman"/>
          <w:b/>
          <w:bCs/>
          <w:sz w:val="20"/>
          <w:szCs w:val="24"/>
        </w:rPr>
        <w:t xml:space="preserve">PUBLICAT ÎN: </w:t>
      </w:r>
      <w:r w:rsidRPr="00F243D1">
        <w:rPr>
          <w:rFonts w:ascii="Times New Roman" w:eastAsia="Times New Roman" w:hAnsi="Times New Roman"/>
          <w:sz w:val="20"/>
          <w:szCs w:val="24"/>
        </w:rPr>
        <w:t>MONITORUL OFICIAL nr. 922 din 11 decembrie 2015</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r>
      <w:r w:rsidRPr="00F243D1">
        <w:rPr>
          <w:rFonts w:ascii="Times New Roman" w:eastAsia="Times New Roman" w:hAnsi="Times New Roman"/>
          <w:b/>
          <w:bCs/>
          <w:sz w:val="20"/>
          <w:szCs w:val="24"/>
        </w:rPr>
        <w:t xml:space="preserve">Data </w:t>
      </w:r>
      <w:proofErr w:type="spellStart"/>
      <w:r w:rsidRPr="00F243D1">
        <w:rPr>
          <w:rFonts w:ascii="Times New Roman" w:eastAsia="Times New Roman" w:hAnsi="Times New Roman"/>
          <w:b/>
          <w:bCs/>
          <w:sz w:val="20"/>
          <w:szCs w:val="24"/>
        </w:rPr>
        <w:t>Intrarii</w:t>
      </w:r>
      <w:proofErr w:type="spellEnd"/>
      <w:r w:rsidRPr="00F243D1">
        <w:rPr>
          <w:rFonts w:ascii="Times New Roman" w:eastAsia="Times New Roman" w:hAnsi="Times New Roman"/>
          <w:b/>
          <w:bCs/>
          <w:sz w:val="20"/>
          <w:szCs w:val="24"/>
        </w:rPr>
        <w:t xml:space="preserve"> in vigoare: 11 Decembrie 2015</w:t>
      </w:r>
      <w:r w:rsidRPr="00F243D1">
        <w:rPr>
          <w:rFonts w:ascii="Times New Roman" w:eastAsia="Times New Roman" w:hAnsi="Times New Roman"/>
          <w:sz w:val="20"/>
          <w:szCs w:val="24"/>
        </w:rPr>
        <w:br/>
        <w:t>-------------------------------------------------------------------------</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În temeiul art. 108 din Constituţia României, republicată, al art. 2 alin. (3) lit. d) şi al art. 5 alin. (1) din Legea nr. 255/2010 privind exproprierea pentru cauză de utilitate publică, necesară realizării unor obiective de interes naţional, judeţean şi local, cu modificările şi completările ulterioare,</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Guvernul României adoptă prezenta hotărâre.</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ART. 1</w:t>
      </w:r>
      <w:r w:rsidRPr="00F243D1">
        <w:rPr>
          <w:rFonts w:ascii="Times New Roman" w:eastAsia="Times New Roman" w:hAnsi="Times New Roman"/>
          <w:sz w:val="20"/>
          <w:szCs w:val="24"/>
        </w:rPr>
        <w:br/>
        <w:t>    Se aprobă amplasamentul lucrării de utilitate publică de interes naţional, conform variantei finale a studiului de fezabilitate "S.N.G.N. ROMGAZ - S.A. - Conducta de aducţiune a sondei 15 Bilciureşti", judeţul Dâmboviţa, în suprafaţă de 29.020 mp, potrivit planurilor topografice prevăzute în anexa nr. 1*).</w:t>
      </w:r>
      <w:r w:rsidRPr="00F243D1">
        <w:rPr>
          <w:rFonts w:ascii="Times New Roman" w:eastAsia="Times New Roman" w:hAnsi="Times New Roman"/>
          <w:sz w:val="20"/>
          <w:szCs w:val="24"/>
        </w:rPr>
        <w:br/>
        <w:t>──────────</w:t>
      </w:r>
      <w:r w:rsidRPr="00F243D1">
        <w:rPr>
          <w:rFonts w:ascii="Times New Roman" w:eastAsia="Times New Roman" w:hAnsi="Times New Roman"/>
          <w:sz w:val="20"/>
          <w:szCs w:val="24"/>
        </w:rPr>
        <w:br/>
        <w:t>    *) Anexa nr. 1 se comunică persoanelor fizice şi juridice interesate, la solicitarea acestora, de către Societatea Naţională de Gaze Naturale "Romgaz" - S.A. Mediaş, care este depozitarul acestora, imposibilitatea publicării în Monitorul Oficial al României, Partea I, a planurilor topografice fiind determinată de impedimente de natură tehnico-redacţională.</w:t>
      </w:r>
      <w:r w:rsidRPr="00F243D1">
        <w:rPr>
          <w:rFonts w:ascii="Times New Roman" w:eastAsia="Times New Roman" w:hAnsi="Times New Roman"/>
          <w:sz w:val="20"/>
          <w:szCs w:val="24"/>
        </w:rPr>
        <w:br/>
        <w:t>──────────</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ART. 2</w:t>
      </w:r>
      <w:r w:rsidRPr="00F243D1">
        <w:rPr>
          <w:rFonts w:ascii="Times New Roman" w:eastAsia="Times New Roman" w:hAnsi="Times New Roman"/>
          <w:sz w:val="20"/>
          <w:szCs w:val="24"/>
        </w:rPr>
        <w:br/>
        <w:t>    Se aprobă declanşarea procedurilor de expropriere a imobilelor proprietate privată situate în coridorul de expropriere al lucrării de utilitate publică de interes naţional "S.N.G.N. ROMGAZ - S.A. - Conducta de aducţiune a sondei 15 Bilciureşti", judeţul Dâmboviţa, expropriator fiind statul român, reprezentat de Ministerul Energiei, prin Societatea Naţională de Gaze Naturale "Romgaz" - S.A. Mediaş.</w:t>
      </w:r>
      <w:r w:rsidRPr="00F243D1">
        <w:rPr>
          <w:rFonts w:ascii="Times New Roman" w:eastAsia="Times New Roman" w:hAnsi="Times New Roman"/>
          <w:sz w:val="20"/>
          <w:szCs w:val="24"/>
        </w:rPr>
        <w:br/>
        <w:t>     ART. 3</w:t>
      </w:r>
      <w:r w:rsidRPr="00F243D1">
        <w:rPr>
          <w:rFonts w:ascii="Times New Roman" w:eastAsia="Times New Roman" w:hAnsi="Times New Roman"/>
          <w:sz w:val="20"/>
          <w:szCs w:val="24"/>
        </w:rPr>
        <w:br/>
        <w:t>    Se aprobă Lista cuprinzând imobilele supuse exproprierii potrivit art. 2 situate pe raza comunei Butimanu, judeţul Dâmboviţa, proprietarii acestora, precum şi sumele individuale aferente despăgubirilor, prevăzută în anexa nr. 2.</w:t>
      </w:r>
      <w:r w:rsidRPr="00F243D1">
        <w:rPr>
          <w:rFonts w:ascii="Times New Roman" w:eastAsia="Times New Roman" w:hAnsi="Times New Roman"/>
          <w:sz w:val="20"/>
          <w:szCs w:val="24"/>
        </w:rPr>
        <w:br/>
        <w:t>     ART. 4</w:t>
      </w:r>
      <w:r w:rsidRPr="00F243D1">
        <w:rPr>
          <w:rFonts w:ascii="Times New Roman" w:eastAsia="Times New Roman" w:hAnsi="Times New Roman"/>
          <w:sz w:val="20"/>
          <w:szCs w:val="24"/>
        </w:rPr>
        <w:br/>
        <w:t>    Se aprobă sumele individuale estimate de către expropriator, aferente despăgubirilor pentru imobilele proprietate privată, situate pe amplasamentul lucrării de utilitate publică prevăzut la art. 1, pe raza comunei Butimanu, judeţul Dâmboviţa, în cuantum total de 385 mii lei, ce vor fi asigurate de la bugetul de stat prin bugetul Ministerului Energiei, în limita prevederilor anuale aprobate prin Legea bugetului de stat pe anul 2015 nr. 186/2014, cu modificările şi completările ulterioare, la capitolul 81.01 "Combustibili şi energie", titlul 55 "Alte transferuri", articolul 01 "Transferuri interne", alineatul 12 "Investiţii ale agenţilor economici cu capital de stat".</w:t>
      </w:r>
      <w:r w:rsidRPr="00F243D1">
        <w:rPr>
          <w:rFonts w:ascii="Times New Roman" w:eastAsia="Times New Roman" w:hAnsi="Times New Roman"/>
          <w:sz w:val="20"/>
          <w:szCs w:val="24"/>
        </w:rPr>
        <w:br/>
        <w:t>     ART. 5</w:t>
      </w:r>
      <w:r w:rsidRPr="00F243D1">
        <w:rPr>
          <w:rFonts w:ascii="Times New Roman" w:eastAsia="Times New Roman" w:hAnsi="Times New Roman"/>
          <w:sz w:val="20"/>
          <w:szCs w:val="24"/>
        </w:rPr>
        <w:br/>
        <w:t>    Sumele individuale prevăzute la art. 4 se virează de către Ministerul Energiei, în termen de cel mult 30 de zile de la data solicitării acestora, într-un cont bancar deschis pe numele Societatea Naţională de Gaze Naturale "Romgaz" - S.A. Mediaş la dispoziţia proprietarilor de imobile, pentru lucrarea prevăzută la art. 1, în vederea efectuării plăţii despăgubirilor în cadrul procedurilor de expropriere, în condiţiile legii.</w:t>
      </w:r>
      <w:r w:rsidRPr="00F243D1">
        <w:rPr>
          <w:rFonts w:ascii="Times New Roman" w:eastAsia="Times New Roman" w:hAnsi="Times New Roman"/>
          <w:sz w:val="20"/>
          <w:szCs w:val="24"/>
        </w:rPr>
        <w:br/>
        <w:t>     ART. 6</w:t>
      </w:r>
      <w:r w:rsidRPr="00F243D1">
        <w:rPr>
          <w:rFonts w:ascii="Times New Roman" w:eastAsia="Times New Roman" w:hAnsi="Times New Roman"/>
          <w:sz w:val="20"/>
          <w:szCs w:val="24"/>
        </w:rPr>
        <w:br/>
        <w:t>    Ministerul Energiei, prin Societatea Naţională de Gaze Naturale "Romgaz" - S.A. Mediaş, răspunde de realitatea datelor înscrise în Lista cuprinzând imobilele proprietate privată situate în coridorul de expropriere al lucrării, de corectitudinea datelor înscrise în documentele care au stat la baza stabilirii acestora, precum şi de modul de utilizare, în conformitate cu dispoziţiile legale, a sumei alocate potrivit prevederilor prezentei hotărâri.</w:t>
      </w:r>
      <w:r w:rsidRPr="00F243D1">
        <w:rPr>
          <w:rFonts w:ascii="Times New Roman" w:eastAsia="Times New Roman" w:hAnsi="Times New Roman"/>
          <w:sz w:val="20"/>
          <w:szCs w:val="24"/>
        </w:rPr>
        <w:br/>
        <w:t>     ART. 7</w:t>
      </w:r>
      <w:r w:rsidRPr="00F243D1">
        <w:rPr>
          <w:rFonts w:ascii="Times New Roman" w:eastAsia="Times New Roman" w:hAnsi="Times New Roman"/>
          <w:sz w:val="20"/>
          <w:szCs w:val="24"/>
        </w:rPr>
        <w:br/>
        <w:t>    Planul amplasamentului lucrării de utilitate publică de interes naţional se aduce la cunoştinţa publică prin afişarea la sediul consiliului local al comunei Butimanu, judeţul Dâmboviţa şi, respectiv, prin afişare pe pagina proprie de internet a expropriatorului, potrivit legii.</w:t>
      </w:r>
      <w:r w:rsidRPr="00F243D1">
        <w:rPr>
          <w:rFonts w:ascii="Times New Roman" w:eastAsia="Times New Roman" w:hAnsi="Times New Roman"/>
          <w:sz w:val="20"/>
          <w:szCs w:val="24"/>
        </w:rPr>
        <w:br/>
        <w:t>     ART. 8</w:t>
      </w:r>
      <w:r w:rsidRPr="00F243D1">
        <w:rPr>
          <w:rFonts w:ascii="Times New Roman" w:eastAsia="Times New Roman" w:hAnsi="Times New Roman"/>
          <w:sz w:val="20"/>
          <w:szCs w:val="24"/>
        </w:rPr>
        <w:br/>
        <w:t>    Anexele nr. 1 şi 2 fac parte integrantă din prezenta hotărâre.</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PRIM-MINISTRU</w:t>
      </w:r>
      <w:r w:rsidRPr="00F243D1">
        <w:rPr>
          <w:rFonts w:ascii="Times New Roman" w:eastAsia="Times New Roman" w:hAnsi="Times New Roman"/>
          <w:sz w:val="20"/>
          <w:szCs w:val="24"/>
        </w:rPr>
        <w:br/>
        <w:t>                              DACIAN JULIEN CIOLOŞ</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r>
      <w:r w:rsidRPr="00F243D1">
        <w:rPr>
          <w:rFonts w:ascii="Times New Roman" w:eastAsia="Times New Roman" w:hAnsi="Times New Roman"/>
          <w:sz w:val="20"/>
          <w:szCs w:val="24"/>
        </w:rPr>
        <w:lastRenderedPageBreak/>
        <w:t>                                Contrasemnează:</w:t>
      </w:r>
      <w:r w:rsidRPr="00F243D1">
        <w:rPr>
          <w:rFonts w:ascii="Times New Roman" w:eastAsia="Times New Roman" w:hAnsi="Times New Roman"/>
          <w:sz w:val="20"/>
          <w:szCs w:val="24"/>
        </w:rPr>
        <w:br/>
        <w:t>                                ---------------</w:t>
      </w:r>
      <w:r w:rsidRPr="00F243D1">
        <w:rPr>
          <w:rFonts w:ascii="Times New Roman" w:eastAsia="Times New Roman" w:hAnsi="Times New Roman"/>
          <w:sz w:val="20"/>
          <w:szCs w:val="24"/>
        </w:rPr>
        <w:br/>
        <w:t>                              Ministrul energiei,</w:t>
      </w:r>
      <w:r w:rsidRPr="00F243D1">
        <w:rPr>
          <w:rFonts w:ascii="Times New Roman" w:eastAsia="Times New Roman" w:hAnsi="Times New Roman"/>
          <w:sz w:val="20"/>
          <w:szCs w:val="24"/>
        </w:rPr>
        <w:br/>
        <w:t>                             Victor Vlad Grigorescu</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Ministrul finanţelor publice,</w:t>
      </w:r>
      <w:r w:rsidRPr="00F243D1">
        <w:rPr>
          <w:rFonts w:ascii="Times New Roman" w:eastAsia="Times New Roman" w:hAnsi="Times New Roman"/>
          <w:sz w:val="20"/>
          <w:szCs w:val="24"/>
        </w:rPr>
        <w:br/>
        <w:t>                                Anca Dana Dragu</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Bucureşti, 9 decembrie 2015.</w:t>
      </w:r>
      <w:r w:rsidRPr="00F243D1">
        <w:rPr>
          <w:rFonts w:ascii="Times New Roman" w:eastAsia="Times New Roman" w:hAnsi="Times New Roman"/>
          <w:sz w:val="20"/>
          <w:szCs w:val="24"/>
        </w:rPr>
        <w:br/>
        <w:t>    Nr. 958.</w:t>
      </w:r>
      <w:r w:rsidRPr="00F243D1">
        <w:rPr>
          <w:rFonts w:ascii="Times New Roman" w:eastAsia="Times New Roman" w:hAnsi="Times New Roman"/>
          <w:sz w:val="20"/>
          <w:szCs w:val="24"/>
        </w:rPr>
        <w:br/>
      </w:r>
      <w:r w:rsidRPr="00F243D1">
        <w:rPr>
          <w:rFonts w:ascii="Times New Roman" w:eastAsia="Times New Roman" w:hAnsi="Times New Roman"/>
          <w:sz w:val="20"/>
          <w:szCs w:val="24"/>
        </w:rPr>
        <w:br/>
        <w:t>     ANEXA 2</w:t>
      </w:r>
      <w:r w:rsidRPr="00F243D1">
        <w:rPr>
          <w:rFonts w:ascii="Times New Roman" w:eastAsia="Times New Roman" w:hAnsi="Times New Roman"/>
          <w:sz w:val="20"/>
          <w:szCs w:val="24"/>
        </w:rPr>
        <w:br/>
        <w:t>                                     LISTA</w:t>
      </w:r>
      <w:r w:rsidRPr="00F243D1">
        <w:rPr>
          <w:rFonts w:ascii="Times New Roman" w:eastAsia="Times New Roman" w:hAnsi="Times New Roman"/>
          <w:sz w:val="20"/>
          <w:szCs w:val="24"/>
        </w:rPr>
        <w:br/>
        <w:t>            cuprinzând imobilele proprietate privată care fac parte</w:t>
      </w:r>
      <w:r w:rsidRPr="00F243D1">
        <w:rPr>
          <w:rFonts w:ascii="Times New Roman" w:eastAsia="Times New Roman" w:hAnsi="Times New Roman"/>
          <w:sz w:val="20"/>
          <w:szCs w:val="24"/>
        </w:rPr>
        <w:br/>
        <w:t>             din coridorul de expropriere al lucrării de utilitate</w:t>
      </w:r>
      <w:r w:rsidRPr="00F243D1">
        <w:rPr>
          <w:rFonts w:ascii="Times New Roman" w:eastAsia="Times New Roman" w:hAnsi="Times New Roman"/>
          <w:sz w:val="20"/>
          <w:szCs w:val="24"/>
        </w:rPr>
        <w:br/>
        <w:t>              publică de interes naţional "Conducta de aducţiune a</w:t>
      </w:r>
      <w:r w:rsidRPr="00F243D1">
        <w:rPr>
          <w:rFonts w:ascii="Times New Roman" w:eastAsia="Times New Roman" w:hAnsi="Times New Roman"/>
          <w:sz w:val="20"/>
          <w:szCs w:val="24"/>
        </w:rPr>
        <w:br/>
        <w:t>           sondei 15 Bilciureşti", situate pe raza comunei Butimanu,</w:t>
      </w:r>
      <w:r w:rsidRPr="00F243D1">
        <w:rPr>
          <w:rFonts w:ascii="Times New Roman" w:eastAsia="Times New Roman" w:hAnsi="Times New Roman"/>
          <w:sz w:val="20"/>
          <w:szCs w:val="24"/>
        </w:rPr>
        <w:br/>
        <w:t>               judeţul Dâmboviţa, proprietarii, precum şi sumele</w:t>
      </w:r>
      <w:r w:rsidRPr="00F243D1">
        <w:rPr>
          <w:rFonts w:ascii="Times New Roman" w:eastAsia="Times New Roman" w:hAnsi="Times New Roman"/>
          <w:sz w:val="20"/>
          <w:szCs w:val="24"/>
        </w:rPr>
        <w:br/>
        <w:t>                      individuale aferente despăgubirilor</w:t>
      </w:r>
    </w:p>
    <w:p w:rsidR="005459C6" w:rsidRDefault="00953459">
      <w:pPr>
        <w:pStyle w:val="HTMLPreformatted"/>
        <w:divId w:val="1212613440"/>
        <w:rPr>
          <w:sz w:val="18"/>
          <w:szCs w:val="18"/>
        </w:rPr>
      </w:pPr>
      <w:r>
        <w:rPr>
          <w:sz w:val="18"/>
          <w:szCs w:val="18"/>
        </w:rPr>
        <w:br/>
      </w:r>
    </w:p>
    <w:p w:rsidR="005459C6" w:rsidRDefault="00953459">
      <w:pPr>
        <w:pStyle w:val="HTMLPreformatted"/>
        <w:divId w:val="1212613440"/>
        <w:rPr>
          <w:sz w:val="8"/>
          <w:szCs w:val="18"/>
        </w:rPr>
      </w:pPr>
      <w:r>
        <w:rPr>
          <w:sz w:val="8"/>
          <w:szCs w:val="18"/>
        </w:rPr>
        <w:t>*Font 6*</w:t>
      </w:r>
      <w:r>
        <w:rPr>
          <w:sz w:val="8"/>
          <w:szCs w:val="18"/>
        </w:rPr>
        <w:br/>
      </w:r>
    </w:p>
    <w:p w:rsidR="005459C6" w:rsidRPr="00F243D1" w:rsidRDefault="00953459">
      <w:pPr>
        <w:pStyle w:val="HTMLPreformatted"/>
        <w:divId w:val="1212613440"/>
        <w:rPr>
          <w:sz w:val="10"/>
          <w:szCs w:val="10"/>
        </w:rPr>
      </w:pPr>
      <w:r w:rsidRPr="00F243D1">
        <w:rPr>
          <w:sz w:val="10"/>
          <w:szCs w:val="10"/>
        </w:rPr>
        <w:t xml:space="preserve">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│N │  Judeţ  │   Unitatea   │ Numele şi │</w:t>
      </w:r>
      <w:proofErr w:type="spellStart"/>
      <w:r w:rsidRPr="00F243D1">
        <w:rPr>
          <w:sz w:val="10"/>
          <w:szCs w:val="10"/>
        </w:rPr>
        <w:t>Tar-</w:t>
      </w:r>
      <w:proofErr w:type="spellEnd"/>
      <w:r w:rsidRPr="00F243D1">
        <w:rPr>
          <w:sz w:val="10"/>
          <w:szCs w:val="10"/>
        </w:rPr>
        <w:t>│Parcela │</w:t>
      </w:r>
      <w:proofErr w:type="spellStart"/>
      <w:r w:rsidRPr="00F243D1">
        <w:rPr>
          <w:sz w:val="10"/>
          <w:szCs w:val="10"/>
        </w:rPr>
        <w:t>Catego-</w:t>
      </w:r>
      <w:proofErr w:type="spellEnd"/>
      <w:r w:rsidRPr="00F243D1">
        <w:rPr>
          <w:sz w:val="10"/>
          <w:szCs w:val="10"/>
        </w:rPr>
        <w:t>│Suprafaţa│</w:t>
      </w:r>
      <w:proofErr w:type="spellStart"/>
      <w:r w:rsidRPr="00F243D1">
        <w:rPr>
          <w:sz w:val="10"/>
          <w:szCs w:val="10"/>
        </w:rPr>
        <w:t>Supra-</w:t>
      </w:r>
      <w:proofErr w:type="spellEnd"/>
      <w:r w:rsidRPr="00F243D1">
        <w:rPr>
          <w:sz w:val="10"/>
          <w:szCs w:val="10"/>
        </w:rPr>
        <w:t>│ Valoarea │Suprafaţa│        Valoarea          │  Obiectul │Observaţii│</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│r.│         │</w:t>
      </w:r>
      <w:proofErr w:type="spellStart"/>
      <w:r w:rsidRPr="00F243D1">
        <w:rPr>
          <w:sz w:val="10"/>
          <w:szCs w:val="10"/>
        </w:rPr>
        <w:t>administrativ-</w:t>
      </w:r>
      <w:proofErr w:type="spellEnd"/>
      <w:r w:rsidRPr="00F243D1">
        <w:rPr>
          <w:sz w:val="10"/>
          <w:szCs w:val="10"/>
        </w:rPr>
        <w:t>│ prenumele │</w:t>
      </w:r>
      <w:proofErr w:type="spellStart"/>
      <w:r w:rsidRPr="00F243D1">
        <w:rPr>
          <w:sz w:val="10"/>
          <w:szCs w:val="10"/>
        </w:rPr>
        <w:t>laua</w:t>
      </w:r>
      <w:proofErr w:type="spellEnd"/>
      <w:r w:rsidRPr="00F243D1">
        <w:rPr>
          <w:sz w:val="10"/>
          <w:szCs w:val="10"/>
        </w:rPr>
        <w:t>│        │</w:t>
      </w:r>
      <w:proofErr w:type="spellStart"/>
      <w:r w:rsidRPr="00F243D1">
        <w:rPr>
          <w:sz w:val="10"/>
          <w:szCs w:val="10"/>
        </w:rPr>
        <w:t>ria</w:t>
      </w:r>
      <w:proofErr w:type="spellEnd"/>
      <w:r w:rsidRPr="00F243D1">
        <w:rPr>
          <w:sz w:val="10"/>
          <w:szCs w:val="10"/>
        </w:rPr>
        <w:t xml:space="preserve"> de │ totală  │faţa  │ unitară  │         │         (lei)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│C │         │  teritorială │           │    │        │</w:t>
      </w:r>
      <w:proofErr w:type="spellStart"/>
      <w:r w:rsidRPr="00F243D1">
        <w:rPr>
          <w:sz w:val="10"/>
          <w:szCs w:val="10"/>
        </w:rPr>
        <w:t>folo-</w:t>
      </w:r>
      <w:proofErr w:type="spellEnd"/>
      <w:r w:rsidRPr="00F243D1">
        <w:rPr>
          <w:sz w:val="10"/>
          <w:szCs w:val="10"/>
        </w:rPr>
        <w:t xml:space="preserve">  │   [mp]  │din   │   a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│r │         │              │           │    │        │</w:t>
      </w:r>
      <w:proofErr w:type="spellStart"/>
      <w:r w:rsidRPr="00F243D1">
        <w:rPr>
          <w:sz w:val="10"/>
          <w:szCs w:val="10"/>
        </w:rPr>
        <w:t>sinţă</w:t>
      </w:r>
      <w:proofErr w:type="spellEnd"/>
      <w:r w:rsidRPr="00F243D1">
        <w:rPr>
          <w:sz w:val="10"/>
          <w:szCs w:val="10"/>
        </w:rPr>
        <w:t xml:space="preserve">  │         │</w:t>
      </w:r>
      <w:proofErr w:type="spellStart"/>
      <w:r w:rsidRPr="00F243D1">
        <w:rPr>
          <w:sz w:val="10"/>
          <w:szCs w:val="10"/>
        </w:rPr>
        <w:t>cori-</w:t>
      </w:r>
      <w:proofErr w:type="spellEnd"/>
      <w:r w:rsidRPr="00F243D1">
        <w:rPr>
          <w:sz w:val="10"/>
          <w:szCs w:val="10"/>
        </w:rPr>
        <w:t xml:space="preserve"> │tarifelor,│         │  teren │</w:t>
      </w:r>
      <w:proofErr w:type="spellStart"/>
      <w:r w:rsidRPr="00F243D1">
        <w:rPr>
          <w:sz w:val="10"/>
          <w:szCs w:val="10"/>
        </w:rPr>
        <w:t>uzu-</w:t>
      </w:r>
      <w:proofErr w:type="spellEnd"/>
      <w:r w:rsidRPr="00F243D1">
        <w:rPr>
          <w:sz w:val="10"/>
          <w:szCs w:val="10"/>
        </w:rPr>
        <w:t xml:space="preserve">   │  Total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│t.│         │              │           │    │        │       │         │dor   │ conform  │         │        │fruct/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│[mp]  │Raportului│         │        │masă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de    │         │        │</w:t>
      </w:r>
      <w:proofErr w:type="spellStart"/>
      <w:r w:rsidRPr="00F243D1">
        <w:rPr>
          <w:sz w:val="10"/>
          <w:szCs w:val="10"/>
        </w:rPr>
        <w:t>lem-</w:t>
      </w:r>
      <w:proofErr w:type="spellEnd"/>
      <w:r w:rsidRPr="00F243D1">
        <w:rPr>
          <w:sz w:val="10"/>
          <w:szCs w:val="10"/>
        </w:rPr>
        <w:t xml:space="preserve">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evaluare │         │        │</w:t>
      </w:r>
      <w:proofErr w:type="spellStart"/>
      <w:r w:rsidRPr="00F243D1">
        <w:rPr>
          <w:sz w:val="10"/>
          <w:szCs w:val="10"/>
        </w:rPr>
        <w:t>noasă</w:t>
      </w:r>
      <w:proofErr w:type="spellEnd"/>
      <w:r w:rsidRPr="00F243D1">
        <w:rPr>
          <w:sz w:val="10"/>
          <w:szCs w:val="10"/>
        </w:rPr>
        <w:t xml:space="preserve">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[RON/mp] │         │        │</w:t>
      </w:r>
      <w:proofErr w:type="spellStart"/>
      <w:r w:rsidRPr="00F243D1">
        <w:rPr>
          <w:sz w:val="10"/>
          <w:szCs w:val="10"/>
        </w:rPr>
        <w:t>dife-</w:t>
      </w:r>
      <w:proofErr w:type="spellEnd"/>
      <w:r w:rsidRPr="00F243D1">
        <w:rPr>
          <w:sz w:val="10"/>
          <w:szCs w:val="10"/>
        </w:rPr>
        <w:t xml:space="preserve">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         │        │</w:t>
      </w:r>
      <w:proofErr w:type="spellStart"/>
      <w:r w:rsidRPr="00F243D1">
        <w:rPr>
          <w:sz w:val="10"/>
          <w:szCs w:val="10"/>
        </w:rPr>
        <w:t>renţa</w:t>
      </w:r>
      <w:proofErr w:type="spellEnd"/>
      <w:r w:rsidRPr="00F243D1">
        <w:rPr>
          <w:sz w:val="10"/>
          <w:szCs w:val="10"/>
        </w:rPr>
        <w:t xml:space="preserve">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         │        │ de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         │        │</w:t>
      </w:r>
      <w:proofErr w:type="spellStart"/>
      <w:r w:rsidRPr="00F243D1">
        <w:rPr>
          <w:sz w:val="10"/>
          <w:szCs w:val="10"/>
        </w:rPr>
        <w:t>creşte-</w:t>
      </w:r>
      <w:proofErr w:type="spellEnd"/>
      <w:r w:rsidRPr="00F243D1">
        <w:rPr>
          <w:sz w:val="10"/>
          <w:szCs w:val="10"/>
        </w:rPr>
        <w:t>│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         │        │re     │         │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│0 │    1    │      2       │     3     │ 4  │   5    │   6   │    7    │  8   │     9    │    10   │   11   │   12  │    13   │    14     │    15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│1.│Dâmboviţa│Comuna        │S.C. PALO  │ T5 │   A19  │arabil │   282400│ 16935│     13,24│    16935│224219,4│       │224.219,4│Conducta de│definitiv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│Butimanu      │CONSTRUCT -│    │        │       │         │      │          │         │        │       │         │aducţiune a│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│S.R.L.     │    │        │       │         │      │          │         │        │       │         │sondei 15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         │        │       │         │Bilciureşti│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│2.│Dâmboviţa│Comuna        │S.C. PALO  │ T79│A518/3/4│arabil │   188144│  4830│     13,24│     4830│ 63949,2│       │ 63.949,2│Conducta de│definitiv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│Butimanu      │CONSTRUCT -│    │        │       │         │      │          │         │        │       │         │aducţiune a│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│S.R.L.     │    │        │       │         │      │          │         │        │       │         │sondei 15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         │        │       │         │Bilciureşti│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│3.│Dâmboviţa│Comuna        │S.C. PALO  │ T79│A518/2/</w:t>
      </w:r>
      <w:proofErr w:type="spellStart"/>
      <w:r w:rsidRPr="00F243D1">
        <w:rPr>
          <w:sz w:val="10"/>
          <w:szCs w:val="10"/>
        </w:rPr>
        <w:t>2</w:t>
      </w:r>
      <w:proofErr w:type="spellEnd"/>
      <w:r w:rsidRPr="00F243D1">
        <w:rPr>
          <w:sz w:val="10"/>
          <w:szCs w:val="10"/>
        </w:rPr>
        <w:t>│arabil │   248674│  7255│     13,24│     7255│ 96056,2│       │ 96.056,2│Conducta de│definitiv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│Butimanu      │CONSTRUCT -│    │        │       │         │      │          │         │        │       │         │aducţiune a│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│S.R.L.     │    │        │       │         │      │          │         │        │       │         │sondei 15  │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  │         │              │           │    │        │       │         │      │          │         │        │       │         │Bilciureşti│          │</w:t>
      </w:r>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w:t>
      </w:r>
      <w:bookmarkStart w:id="0" w:name="_GoBack"/>
      <w:bookmarkEnd w:id="0"/>
      <w:r w:rsidRPr="00F243D1">
        <w:rPr>
          <w:sz w:val="10"/>
          <w:szCs w:val="10"/>
        </w:rPr>
        <w:br/>
      </w:r>
    </w:p>
    <w:p w:rsidR="005459C6" w:rsidRPr="00F243D1" w:rsidRDefault="00953459">
      <w:pPr>
        <w:pStyle w:val="HTMLPreformatted"/>
        <w:divId w:val="1212613440"/>
        <w:rPr>
          <w:sz w:val="10"/>
          <w:szCs w:val="10"/>
        </w:rPr>
      </w:pPr>
      <w:r w:rsidRPr="00F243D1">
        <w:rPr>
          <w:sz w:val="10"/>
          <w:szCs w:val="10"/>
        </w:rPr>
        <w:t xml:space="preserve">             Total                                                         29.020                                         384.225</w:t>
      </w:r>
    </w:p>
    <w:p w:rsidR="00953459" w:rsidRDefault="00953459">
      <w:pPr>
        <w:rPr>
          <w:rFonts w:ascii="Times New Roman" w:eastAsia="Times New Roman" w:hAnsi="Times New Roman"/>
          <w:sz w:val="24"/>
          <w:szCs w:val="24"/>
        </w:rPr>
      </w:pPr>
      <w:r>
        <w:rPr>
          <w:rFonts w:ascii="Times New Roman" w:eastAsia="Times New Roman" w:hAnsi="Times New Roman"/>
          <w:sz w:val="28"/>
          <w:szCs w:val="24"/>
        </w:rPr>
        <w:br/>
      </w:r>
    </w:p>
    <w:sectPr w:rsidR="00953459">
      <w:pgSz w:w="11906" w:h="16838"/>
      <w:pgMar w:top="993" w:right="56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0"/>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4"/>
  </w:compat>
  <w:rsids>
    <w:rsidRoot w:val="006E51B3"/>
    <w:rsid w:val="005459C6"/>
    <w:rsid w:val="006E51B3"/>
    <w:rsid w:val="00953459"/>
    <w:rsid w:val="00F243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cs="Consolas" w:hint="default"/>
    </w:rPr>
  </w:style>
  <w:style w:type="paragraph" w:customStyle="1" w:styleId="small">
    <w:name w:val="small"/>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cs="Consolas" w:hint="default"/>
    </w:rPr>
  </w:style>
  <w:style w:type="paragraph" w:customStyle="1" w:styleId="small">
    <w:name w:val="small"/>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3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1506</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CHERTES</dc:creator>
  <cp:lastModifiedBy>Cornel CHERTES</cp:lastModifiedBy>
  <cp:revision>3</cp:revision>
  <dcterms:created xsi:type="dcterms:W3CDTF">2015-12-15T10:32:00Z</dcterms:created>
  <dcterms:modified xsi:type="dcterms:W3CDTF">2015-12-16T07:17:00Z</dcterms:modified>
</cp:coreProperties>
</file>